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F9A89" w14:textId="77777777" w:rsidR="00063952" w:rsidRPr="0043209B" w:rsidRDefault="00063952" w:rsidP="0043209B">
      <w:pPr>
        <w:pStyle w:val="Title"/>
        <w:rPr>
          <w:smallCaps/>
          <w:sz w:val="24"/>
          <w:szCs w:val="24"/>
          <w:u w:val="single"/>
        </w:rPr>
      </w:pPr>
    </w:p>
    <w:p w14:paraId="3C6CEAB6" w14:textId="3D3B47DB" w:rsidR="00CA197E" w:rsidRPr="0043209B" w:rsidRDefault="00D05186" w:rsidP="0043209B">
      <w:pPr>
        <w:pStyle w:val="Title"/>
        <w:rPr>
          <w:smallCaps/>
          <w:sz w:val="24"/>
          <w:szCs w:val="24"/>
          <w:u w:val="single"/>
          <w:lang w:val="nl-NL"/>
        </w:rPr>
      </w:pPr>
      <w:r w:rsidRPr="0043209B">
        <w:rPr>
          <w:smallCaps/>
          <w:sz w:val="24"/>
          <w:szCs w:val="24"/>
          <w:u w:val="single"/>
          <w:lang w:val="nl-NL"/>
        </w:rPr>
        <w:t>Algemene Voorwaarden Van Vidanova Bank N.V. E-Banking</w:t>
      </w:r>
    </w:p>
    <w:p w14:paraId="0F7CFE00" w14:textId="77777777" w:rsidR="00F162DD" w:rsidRPr="0043209B" w:rsidRDefault="00F162DD" w:rsidP="0043209B">
      <w:pPr>
        <w:pStyle w:val="Title"/>
        <w:jc w:val="left"/>
        <w:rPr>
          <w:b w:val="0"/>
          <w:bCs/>
          <w:smallCaps/>
          <w:sz w:val="24"/>
          <w:szCs w:val="24"/>
          <w:lang w:val="nl-NL"/>
        </w:rPr>
      </w:pPr>
    </w:p>
    <w:p w14:paraId="4F54280B" w14:textId="77777777" w:rsidR="00D05186" w:rsidRPr="0043209B" w:rsidRDefault="00D05186" w:rsidP="0043209B">
      <w:pPr>
        <w:pStyle w:val="Title"/>
        <w:jc w:val="left"/>
        <w:rPr>
          <w:b w:val="0"/>
          <w:bCs/>
          <w:smallCaps/>
          <w:sz w:val="24"/>
          <w:szCs w:val="24"/>
          <w:lang w:val="nl-NL"/>
        </w:rPr>
      </w:pPr>
    </w:p>
    <w:p w14:paraId="21815844" w14:textId="3FFCC9FE" w:rsidR="00F162DD" w:rsidRPr="0043209B" w:rsidRDefault="00F162DD" w:rsidP="0043209B">
      <w:pPr>
        <w:rPr>
          <w:rFonts w:ascii="Times New Roman" w:hAnsi="Times New Roman"/>
          <w:sz w:val="24"/>
          <w:lang w:val="nl-NL"/>
        </w:rPr>
      </w:pPr>
    </w:p>
    <w:p w14:paraId="20ADFEC5" w14:textId="77777777" w:rsidR="00173507" w:rsidRPr="0043209B" w:rsidRDefault="00173507" w:rsidP="0043209B">
      <w:pPr>
        <w:pStyle w:val="NoSpacing"/>
        <w:numPr>
          <w:ilvl w:val="0"/>
          <w:numId w:val="11"/>
        </w:numPr>
        <w:spacing w:line="23" w:lineRule="atLeast"/>
        <w:rPr>
          <w:rFonts w:ascii="Times New Roman" w:hAnsi="Times New Roman" w:cs="Times New Roman"/>
          <w:lang w:val="nl-NL"/>
        </w:rPr>
      </w:pPr>
      <w:r w:rsidRPr="0043209B">
        <w:rPr>
          <w:rFonts w:ascii="Times New Roman" w:hAnsi="Times New Roman" w:cs="Times New Roman"/>
          <w:lang w:val="nl-NL"/>
        </w:rPr>
        <w:t xml:space="preserve">Vidanova Bank N.V. ("de Bank") stelt een E-Bankingplatform ("E-Banking") ter beschikking aan iedere natuurlijke of rechtspersoon die een rekening aanhoudt bij de Bank en een aanvraag heeft ingediend voor – en goedkeuring heeft gekregen tot – het gebruik van E-Banking en/of Mobile Banking (de "Klant" hetgeen </w:t>
      </w:r>
      <w:proofErr w:type="gramStart"/>
      <w:r w:rsidRPr="0043209B">
        <w:rPr>
          <w:rFonts w:ascii="Times New Roman" w:hAnsi="Times New Roman" w:cs="Times New Roman"/>
          <w:lang w:val="nl-NL"/>
        </w:rPr>
        <w:t>tevens</w:t>
      </w:r>
      <w:proofErr w:type="gramEnd"/>
      <w:r w:rsidRPr="0043209B">
        <w:rPr>
          <w:rFonts w:ascii="Times New Roman" w:hAnsi="Times New Roman" w:cs="Times New Roman"/>
          <w:lang w:val="nl-NL"/>
        </w:rPr>
        <w:t xml:space="preserve"> moet worden gelezen als de “Rekeninghouder”). Dit platform is bedoeld voor persoonlijk of zakelijk gebruik door de Klant bij het beheren en uitvoeren van Bankzaken op elektronische wijze. Deze algemene voorwaarden regelen het gebruik van E-Banking en Mobile Banking. Wanneer in deze algemene voorwaarden wordt gesproken over E-Banking, wordt hiermee de persoonlijke en zakelijke E-Banking Diensten van de Bank bedoeld, evenals de Mobile Banking Diensten (de ‘Diensten’), tenzij anders vermeld.</w:t>
      </w:r>
    </w:p>
    <w:p w14:paraId="4E1393A6" w14:textId="77777777" w:rsidR="00173507" w:rsidRPr="0043209B" w:rsidRDefault="00173507" w:rsidP="0043209B">
      <w:pPr>
        <w:pStyle w:val="NoSpacing"/>
        <w:spacing w:line="23" w:lineRule="atLeast"/>
        <w:ind w:left="720"/>
        <w:rPr>
          <w:rFonts w:ascii="Times New Roman" w:hAnsi="Times New Roman" w:cs="Times New Roman"/>
          <w:lang w:val="nl-NL"/>
        </w:rPr>
      </w:pPr>
    </w:p>
    <w:p w14:paraId="6014171A" w14:textId="77777777" w:rsidR="00173507" w:rsidRPr="0043209B" w:rsidRDefault="00173507" w:rsidP="0043209B">
      <w:pPr>
        <w:pStyle w:val="NoSpacing"/>
        <w:ind w:left="720" w:hanging="360"/>
        <w:rPr>
          <w:rFonts w:ascii="Times New Roman" w:hAnsi="Times New Roman" w:cs="Times New Roman"/>
          <w:lang w:val="nl-NL"/>
        </w:rPr>
      </w:pPr>
      <w:r w:rsidRPr="0043209B">
        <w:rPr>
          <w:rFonts w:ascii="Times New Roman" w:hAnsi="Times New Roman" w:cs="Times New Roman"/>
          <w:lang w:val="nl-NL"/>
        </w:rPr>
        <w:t>2. Met E-Banking kan de Klant inloggen om gebruik te maken van de volgende Diensten:</w:t>
      </w:r>
    </w:p>
    <w:p w14:paraId="7DC72B71" w14:textId="651533AF" w:rsidR="00173507" w:rsidRPr="0043209B" w:rsidRDefault="00173507" w:rsidP="0043209B">
      <w:pPr>
        <w:pStyle w:val="NoSpacing"/>
        <w:numPr>
          <w:ilvl w:val="0"/>
          <w:numId w:val="27"/>
        </w:numPr>
        <w:rPr>
          <w:rFonts w:ascii="Times New Roman" w:hAnsi="Times New Roman" w:cs="Times New Roman"/>
          <w:lang w:val="nl-NL"/>
        </w:rPr>
      </w:pPr>
      <w:r w:rsidRPr="0043209B">
        <w:rPr>
          <w:rFonts w:ascii="Times New Roman" w:hAnsi="Times New Roman" w:cs="Times New Roman"/>
          <w:lang w:val="nl-NL"/>
        </w:rPr>
        <w:t>Persoonlijke Diensten (‘Persoonlijke Diensten’) die onder andere het volgende biedt:</w:t>
      </w:r>
    </w:p>
    <w:p w14:paraId="5CDA7693" w14:textId="77777777" w:rsidR="00173507" w:rsidRPr="0043209B" w:rsidRDefault="00173507" w:rsidP="0043209B">
      <w:pPr>
        <w:pStyle w:val="NoSpacing"/>
        <w:numPr>
          <w:ilvl w:val="0"/>
          <w:numId w:val="26"/>
        </w:numPr>
        <w:rPr>
          <w:rFonts w:ascii="Times New Roman" w:hAnsi="Times New Roman" w:cs="Times New Roman"/>
          <w:lang w:val="nl-NL"/>
        </w:rPr>
      </w:pPr>
      <w:r w:rsidRPr="0043209B">
        <w:rPr>
          <w:rFonts w:ascii="Times New Roman" w:hAnsi="Times New Roman" w:cs="Times New Roman"/>
          <w:lang w:val="nl-NL"/>
        </w:rPr>
        <w:t>Saldo-informatie van rekening(en)</w:t>
      </w:r>
    </w:p>
    <w:p w14:paraId="4403CE3A" w14:textId="77777777" w:rsidR="00173507" w:rsidRPr="0043209B" w:rsidRDefault="00173507" w:rsidP="0043209B">
      <w:pPr>
        <w:pStyle w:val="NoSpacing"/>
        <w:numPr>
          <w:ilvl w:val="0"/>
          <w:numId w:val="26"/>
        </w:numPr>
        <w:rPr>
          <w:rFonts w:ascii="Times New Roman" w:hAnsi="Times New Roman" w:cs="Times New Roman"/>
        </w:rPr>
      </w:pPr>
      <w:r w:rsidRPr="0043209B">
        <w:rPr>
          <w:rFonts w:ascii="Times New Roman" w:hAnsi="Times New Roman" w:cs="Times New Roman"/>
        </w:rPr>
        <w:t>View/download transactiegeschiedenis</w:t>
      </w:r>
    </w:p>
    <w:p w14:paraId="610B6554" w14:textId="77777777" w:rsidR="00173507" w:rsidRPr="0043209B" w:rsidRDefault="00173507" w:rsidP="0043209B">
      <w:pPr>
        <w:pStyle w:val="NoSpacing"/>
        <w:numPr>
          <w:ilvl w:val="0"/>
          <w:numId w:val="26"/>
        </w:numPr>
        <w:rPr>
          <w:rFonts w:ascii="Times New Roman" w:hAnsi="Times New Roman" w:cs="Times New Roman"/>
          <w:lang w:val="nl-NL"/>
        </w:rPr>
      </w:pPr>
      <w:r w:rsidRPr="0043209B">
        <w:rPr>
          <w:rFonts w:ascii="Times New Roman" w:hAnsi="Times New Roman" w:cs="Times New Roman"/>
          <w:lang w:val="nl-NL"/>
        </w:rPr>
        <w:t xml:space="preserve">Betalingen en overboekingen </w:t>
      </w:r>
    </w:p>
    <w:p w14:paraId="0D3B34B1" w14:textId="77777777" w:rsidR="00173507" w:rsidRPr="0043209B" w:rsidRDefault="00173507" w:rsidP="0043209B">
      <w:pPr>
        <w:pStyle w:val="NoSpacing"/>
        <w:numPr>
          <w:ilvl w:val="1"/>
          <w:numId w:val="26"/>
        </w:numPr>
        <w:rPr>
          <w:rFonts w:ascii="Times New Roman" w:hAnsi="Times New Roman" w:cs="Times New Roman"/>
          <w:lang w:val="nl-NL"/>
        </w:rPr>
      </w:pPr>
      <w:r w:rsidRPr="0043209B">
        <w:rPr>
          <w:rFonts w:ascii="Times New Roman" w:hAnsi="Times New Roman" w:cs="Times New Roman"/>
          <w:lang w:val="nl-NL"/>
        </w:rPr>
        <w:t xml:space="preserve">Overboeking tussen eigen rekeningen (overdracht van fondsen tussen uw eigen rekeningen) </w:t>
      </w:r>
    </w:p>
    <w:p w14:paraId="3361105E" w14:textId="77777777" w:rsidR="00173507" w:rsidRPr="0043209B" w:rsidRDefault="00173507" w:rsidP="0043209B">
      <w:pPr>
        <w:pStyle w:val="NoSpacing"/>
        <w:numPr>
          <w:ilvl w:val="1"/>
          <w:numId w:val="26"/>
        </w:numPr>
        <w:rPr>
          <w:rFonts w:ascii="Times New Roman" w:hAnsi="Times New Roman" w:cs="Times New Roman"/>
          <w:lang w:val="nl-NL"/>
        </w:rPr>
      </w:pPr>
      <w:r w:rsidRPr="0043209B">
        <w:rPr>
          <w:rFonts w:ascii="Times New Roman" w:hAnsi="Times New Roman" w:cs="Times New Roman"/>
          <w:lang w:val="nl-NL"/>
        </w:rPr>
        <w:t xml:space="preserve">IntraBank overboeking (overdracht van fondsen naar een rekening binnen Vidanova Bank) </w:t>
      </w:r>
    </w:p>
    <w:p w14:paraId="2DBDA41E" w14:textId="77777777" w:rsidR="00173507" w:rsidRPr="0043209B" w:rsidRDefault="00173507" w:rsidP="0043209B">
      <w:pPr>
        <w:pStyle w:val="NoSpacing"/>
        <w:numPr>
          <w:ilvl w:val="1"/>
          <w:numId w:val="26"/>
        </w:numPr>
        <w:rPr>
          <w:rFonts w:ascii="Times New Roman" w:hAnsi="Times New Roman" w:cs="Times New Roman"/>
          <w:lang w:val="nl-NL"/>
        </w:rPr>
      </w:pPr>
      <w:r w:rsidRPr="0043209B">
        <w:rPr>
          <w:rFonts w:ascii="Times New Roman" w:hAnsi="Times New Roman" w:cs="Times New Roman"/>
          <w:lang w:val="nl-NL"/>
        </w:rPr>
        <w:t xml:space="preserve">Binnenlandse betalingen (overdracht van fondsen naar een lokale Bankrekening) </w:t>
      </w:r>
    </w:p>
    <w:p w14:paraId="5F4DCEB1" w14:textId="77777777" w:rsidR="00173507" w:rsidRPr="0043209B" w:rsidRDefault="00173507" w:rsidP="0043209B">
      <w:pPr>
        <w:pStyle w:val="NoSpacing"/>
        <w:numPr>
          <w:ilvl w:val="1"/>
          <w:numId w:val="26"/>
        </w:numPr>
        <w:rPr>
          <w:rFonts w:ascii="Times New Roman" w:hAnsi="Times New Roman" w:cs="Times New Roman"/>
          <w:lang w:val="nl-NL"/>
        </w:rPr>
      </w:pPr>
      <w:r w:rsidRPr="0043209B">
        <w:rPr>
          <w:rFonts w:ascii="Times New Roman" w:hAnsi="Times New Roman" w:cs="Times New Roman"/>
          <w:lang w:val="nl-NL"/>
        </w:rPr>
        <w:t xml:space="preserve">Internationale betalingen (overdracht van fondsen naar een internationale Bankrekening) </w:t>
      </w:r>
    </w:p>
    <w:p w14:paraId="46FF3431" w14:textId="77777777" w:rsidR="00173507" w:rsidRPr="0043209B" w:rsidRDefault="00173507" w:rsidP="0043209B">
      <w:pPr>
        <w:pStyle w:val="NoSpacing"/>
        <w:numPr>
          <w:ilvl w:val="1"/>
          <w:numId w:val="26"/>
        </w:numPr>
        <w:rPr>
          <w:rFonts w:ascii="Times New Roman" w:hAnsi="Times New Roman" w:cs="Times New Roman"/>
          <w:lang w:val="nl-NL"/>
        </w:rPr>
      </w:pPr>
      <w:r w:rsidRPr="0043209B">
        <w:rPr>
          <w:rFonts w:ascii="Times New Roman" w:hAnsi="Times New Roman" w:cs="Times New Roman"/>
          <w:lang w:val="nl-NL"/>
        </w:rPr>
        <w:t>Bill Payments (betaal uw rekeningen naar een bedrijf)</w:t>
      </w:r>
    </w:p>
    <w:p w14:paraId="4782181D" w14:textId="77777777" w:rsidR="00173507" w:rsidRPr="0043209B" w:rsidRDefault="00173507" w:rsidP="0043209B">
      <w:pPr>
        <w:pStyle w:val="NoSpacing"/>
        <w:numPr>
          <w:ilvl w:val="0"/>
          <w:numId w:val="26"/>
        </w:numPr>
        <w:rPr>
          <w:rFonts w:ascii="Times New Roman" w:hAnsi="Times New Roman" w:cs="Times New Roman"/>
          <w:lang w:val="nl-NL"/>
        </w:rPr>
      </w:pPr>
      <w:r w:rsidRPr="0043209B">
        <w:rPr>
          <w:rFonts w:ascii="Times New Roman" w:hAnsi="Times New Roman" w:cs="Times New Roman"/>
          <w:lang w:val="nl-NL"/>
        </w:rPr>
        <w:t>Stuur beveiligde berichten naar de Bank</w:t>
      </w:r>
    </w:p>
    <w:p w14:paraId="64E3E1FB" w14:textId="77777777" w:rsidR="00173507" w:rsidRPr="0043209B" w:rsidRDefault="00173507" w:rsidP="0043209B">
      <w:pPr>
        <w:pStyle w:val="NoSpacing"/>
        <w:numPr>
          <w:ilvl w:val="0"/>
          <w:numId w:val="26"/>
        </w:numPr>
        <w:rPr>
          <w:rFonts w:ascii="Times New Roman" w:hAnsi="Times New Roman" w:cs="Times New Roman"/>
          <w:lang w:val="nl-NL"/>
        </w:rPr>
      </w:pPr>
      <w:r w:rsidRPr="0043209B">
        <w:rPr>
          <w:rFonts w:ascii="Times New Roman" w:hAnsi="Times New Roman" w:cs="Times New Roman"/>
          <w:lang w:val="nl-NL"/>
        </w:rPr>
        <w:t xml:space="preserve">Zelfbeheer </w:t>
      </w:r>
    </w:p>
    <w:p w14:paraId="15614509" w14:textId="77777777" w:rsidR="00173507" w:rsidRPr="0043209B" w:rsidRDefault="00173507" w:rsidP="0043209B">
      <w:pPr>
        <w:pStyle w:val="NoSpacing"/>
        <w:numPr>
          <w:ilvl w:val="1"/>
          <w:numId w:val="26"/>
        </w:numPr>
        <w:rPr>
          <w:rFonts w:ascii="Times New Roman" w:hAnsi="Times New Roman" w:cs="Times New Roman"/>
          <w:lang w:val="nl-NL"/>
        </w:rPr>
      </w:pPr>
      <w:r w:rsidRPr="0043209B">
        <w:rPr>
          <w:rFonts w:ascii="Times New Roman" w:hAnsi="Times New Roman" w:cs="Times New Roman"/>
          <w:lang w:val="nl-NL"/>
        </w:rPr>
        <w:t xml:space="preserve">Wijziging gebruikersnaam </w:t>
      </w:r>
    </w:p>
    <w:p w14:paraId="4FA21E7E" w14:textId="77777777" w:rsidR="00173507" w:rsidRPr="0043209B" w:rsidRDefault="00173507" w:rsidP="0043209B">
      <w:pPr>
        <w:pStyle w:val="NoSpacing"/>
        <w:numPr>
          <w:ilvl w:val="1"/>
          <w:numId w:val="26"/>
        </w:numPr>
        <w:rPr>
          <w:rFonts w:ascii="Times New Roman" w:hAnsi="Times New Roman" w:cs="Times New Roman"/>
          <w:lang w:val="nl-NL"/>
        </w:rPr>
      </w:pPr>
      <w:r w:rsidRPr="0043209B">
        <w:rPr>
          <w:rFonts w:ascii="Times New Roman" w:hAnsi="Times New Roman" w:cs="Times New Roman"/>
          <w:lang w:val="nl-NL"/>
        </w:rPr>
        <w:t xml:space="preserve">Wijziging wachtwoord </w:t>
      </w:r>
    </w:p>
    <w:p w14:paraId="1978B8C5" w14:textId="77777777" w:rsidR="00173507" w:rsidRPr="0043209B" w:rsidRDefault="00173507" w:rsidP="0043209B">
      <w:pPr>
        <w:pStyle w:val="NoSpacing"/>
        <w:numPr>
          <w:ilvl w:val="1"/>
          <w:numId w:val="26"/>
        </w:numPr>
        <w:rPr>
          <w:rFonts w:ascii="Times New Roman" w:hAnsi="Times New Roman" w:cs="Times New Roman"/>
          <w:lang w:val="nl-NL"/>
        </w:rPr>
      </w:pPr>
      <w:r w:rsidRPr="0043209B">
        <w:rPr>
          <w:rFonts w:ascii="Times New Roman" w:hAnsi="Times New Roman" w:cs="Times New Roman"/>
          <w:lang w:val="nl-NL"/>
        </w:rPr>
        <w:t xml:space="preserve">Wijziging E-mail </w:t>
      </w:r>
    </w:p>
    <w:p w14:paraId="47550DBF" w14:textId="77777777" w:rsidR="00173507" w:rsidRPr="0043209B" w:rsidRDefault="00173507" w:rsidP="0043209B">
      <w:pPr>
        <w:pStyle w:val="NoSpacing"/>
        <w:numPr>
          <w:ilvl w:val="1"/>
          <w:numId w:val="26"/>
        </w:numPr>
        <w:rPr>
          <w:rFonts w:ascii="Times New Roman" w:hAnsi="Times New Roman" w:cs="Times New Roman"/>
          <w:lang w:val="nl-NL"/>
        </w:rPr>
      </w:pPr>
      <w:r w:rsidRPr="0043209B">
        <w:rPr>
          <w:rFonts w:ascii="Times New Roman" w:hAnsi="Times New Roman" w:cs="Times New Roman"/>
          <w:lang w:val="nl-NL"/>
        </w:rPr>
        <w:t xml:space="preserve">Beheer rekeningen </w:t>
      </w:r>
    </w:p>
    <w:p w14:paraId="24FD2A5C" w14:textId="77777777" w:rsidR="00173507" w:rsidRPr="0043209B" w:rsidRDefault="00173507" w:rsidP="0043209B">
      <w:pPr>
        <w:pStyle w:val="NoSpacing"/>
        <w:numPr>
          <w:ilvl w:val="1"/>
          <w:numId w:val="26"/>
        </w:numPr>
        <w:rPr>
          <w:rFonts w:ascii="Times New Roman" w:hAnsi="Times New Roman" w:cs="Times New Roman"/>
          <w:lang w:val="nl-NL"/>
        </w:rPr>
      </w:pPr>
      <w:r w:rsidRPr="0043209B">
        <w:rPr>
          <w:rFonts w:ascii="Times New Roman" w:hAnsi="Times New Roman" w:cs="Times New Roman"/>
          <w:lang w:val="nl-NL"/>
        </w:rPr>
        <w:t xml:space="preserve">Beheer begunstigden </w:t>
      </w:r>
    </w:p>
    <w:p w14:paraId="1F4EDA53" w14:textId="77777777" w:rsidR="00173507" w:rsidRPr="0043209B" w:rsidRDefault="00173507" w:rsidP="0043209B">
      <w:pPr>
        <w:pStyle w:val="NoSpacing"/>
        <w:numPr>
          <w:ilvl w:val="1"/>
          <w:numId w:val="26"/>
        </w:numPr>
        <w:rPr>
          <w:rFonts w:ascii="Times New Roman" w:hAnsi="Times New Roman" w:cs="Times New Roman"/>
          <w:lang w:val="nl-NL"/>
        </w:rPr>
      </w:pPr>
      <w:r w:rsidRPr="0043209B">
        <w:rPr>
          <w:rFonts w:ascii="Times New Roman" w:hAnsi="Times New Roman" w:cs="Times New Roman"/>
          <w:lang w:val="nl-NL"/>
        </w:rPr>
        <w:t>Online Activiteit</w:t>
      </w:r>
    </w:p>
    <w:p w14:paraId="2F1A5FE5" w14:textId="77777777" w:rsidR="00173507" w:rsidRPr="0043209B" w:rsidRDefault="00173507" w:rsidP="0043209B">
      <w:pPr>
        <w:pStyle w:val="NoSpacing"/>
        <w:ind w:left="720"/>
        <w:rPr>
          <w:rFonts w:ascii="Times New Roman" w:hAnsi="Times New Roman" w:cs="Times New Roman"/>
          <w:lang w:val="nl-NL"/>
        </w:rPr>
      </w:pPr>
    </w:p>
    <w:p w14:paraId="21DDA172" w14:textId="58761C9A" w:rsidR="00173507" w:rsidRPr="0043209B" w:rsidRDefault="00173507" w:rsidP="0043209B">
      <w:pPr>
        <w:pStyle w:val="NoSpacing"/>
        <w:numPr>
          <w:ilvl w:val="0"/>
          <w:numId w:val="27"/>
        </w:numPr>
        <w:rPr>
          <w:rFonts w:ascii="Times New Roman" w:hAnsi="Times New Roman" w:cs="Times New Roman"/>
          <w:lang w:val="nl-NL"/>
        </w:rPr>
      </w:pPr>
      <w:r w:rsidRPr="0043209B">
        <w:rPr>
          <w:rFonts w:ascii="Times New Roman" w:hAnsi="Times New Roman" w:cs="Times New Roman"/>
          <w:lang w:val="nl-NL"/>
        </w:rPr>
        <w:t>Zakelijke Diensten (‘Zakelijke Diensten’) die onder andere het volgende biedt:</w:t>
      </w:r>
    </w:p>
    <w:p w14:paraId="4E87504E" w14:textId="77777777" w:rsidR="00173507" w:rsidRPr="0043209B" w:rsidRDefault="00173507" w:rsidP="0043209B">
      <w:pPr>
        <w:pStyle w:val="NoSpacing"/>
        <w:numPr>
          <w:ilvl w:val="0"/>
          <w:numId w:val="28"/>
        </w:numPr>
        <w:ind w:left="1440"/>
        <w:rPr>
          <w:rFonts w:ascii="Times New Roman" w:hAnsi="Times New Roman" w:cs="Times New Roman"/>
          <w:lang w:val="nl-NL"/>
        </w:rPr>
      </w:pPr>
      <w:r w:rsidRPr="0043209B">
        <w:rPr>
          <w:rFonts w:ascii="Times New Roman" w:hAnsi="Times New Roman" w:cs="Times New Roman"/>
          <w:lang w:val="nl-NL"/>
        </w:rPr>
        <w:t>Alle onder A genoemde Diensten</w:t>
      </w:r>
    </w:p>
    <w:p w14:paraId="38209B86" w14:textId="77777777" w:rsidR="00173507" w:rsidRPr="0043209B" w:rsidRDefault="00173507" w:rsidP="0043209B">
      <w:pPr>
        <w:pStyle w:val="NoSpacing"/>
        <w:numPr>
          <w:ilvl w:val="0"/>
          <w:numId w:val="28"/>
        </w:numPr>
        <w:ind w:left="1440"/>
        <w:rPr>
          <w:rFonts w:ascii="Times New Roman" w:hAnsi="Times New Roman" w:cs="Times New Roman"/>
          <w:lang w:val="nl-NL"/>
        </w:rPr>
      </w:pPr>
      <w:r w:rsidRPr="0043209B">
        <w:rPr>
          <w:rFonts w:ascii="Times New Roman" w:hAnsi="Times New Roman" w:cs="Times New Roman"/>
          <w:lang w:val="nl-NL"/>
        </w:rPr>
        <w:t>Het toevoegen van meer dan één gemachtigde gebruiker</w:t>
      </w:r>
    </w:p>
    <w:p w14:paraId="55FB3FB1" w14:textId="77777777" w:rsidR="00173507" w:rsidRPr="0043209B" w:rsidRDefault="00173507" w:rsidP="0043209B">
      <w:pPr>
        <w:pStyle w:val="NoSpacing"/>
        <w:numPr>
          <w:ilvl w:val="0"/>
          <w:numId w:val="28"/>
        </w:numPr>
        <w:ind w:left="1440"/>
        <w:rPr>
          <w:rFonts w:ascii="Times New Roman" w:hAnsi="Times New Roman" w:cs="Times New Roman"/>
          <w:lang w:val="nl-NL"/>
        </w:rPr>
      </w:pPr>
      <w:r w:rsidRPr="0043209B">
        <w:rPr>
          <w:rFonts w:ascii="Times New Roman" w:hAnsi="Times New Roman" w:cs="Times New Roman"/>
          <w:lang w:val="nl-NL"/>
        </w:rPr>
        <w:t>Het toevoegen/beheren van verschillende rollen voor meerdere gemachtigde gebruikers met specifieke beperkingen</w:t>
      </w:r>
    </w:p>
    <w:p w14:paraId="22C7453D" w14:textId="77777777" w:rsidR="00173507" w:rsidRPr="0043209B" w:rsidRDefault="00173507" w:rsidP="0043209B">
      <w:pPr>
        <w:pStyle w:val="NoSpacing"/>
        <w:numPr>
          <w:ilvl w:val="0"/>
          <w:numId w:val="28"/>
        </w:numPr>
        <w:ind w:left="1440"/>
        <w:rPr>
          <w:rFonts w:ascii="Times New Roman" w:hAnsi="Times New Roman" w:cs="Times New Roman"/>
        </w:rPr>
      </w:pPr>
      <w:r w:rsidRPr="0043209B">
        <w:rPr>
          <w:rFonts w:ascii="Times New Roman" w:hAnsi="Times New Roman" w:cs="Times New Roman"/>
        </w:rPr>
        <w:t>Bulk Payments</w:t>
      </w:r>
    </w:p>
    <w:p w14:paraId="6EDCD639" w14:textId="77777777" w:rsidR="002144BF" w:rsidRPr="0043209B" w:rsidRDefault="002144BF" w:rsidP="0043209B">
      <w:pPr>
        <w:spacing w:line="23" w:lineRule="atLeast"/>
        <w:ind w:left="720" w:hanging="360"/>
        <w:rPr>
          <w:rFonts w:ascii="Times New Roman" w:hAnsi="Times New Roman"/>
          <w:sz w:val="24"/>
          <w:lang w:val="nl-NL"/>
        </w:rPr>
      </w:pPr>
    </w:p>
    <w:p w14:paraId="51B80A21" w14:textId="0D47B7C5" w:rsidR="00173507" w:rsidRPr="0043209B" w:rsidRDefault="00173507" w:rsidP="0043209B">
      <w:pPr>
        <w:pStyle w:val="ListParagraph"/>
        <w:numPr>
          <w:ilvl w:val="0"/>
          <w:numId w:val="27"/>
        </w:numPr>
        <w:spacing w:after="0" w:line="23" w:lineRule="atLeast"/>
        <w:rPr>
          <w:rFonts w:ascii="Times New Roman" w:hAnsi="Times New Roman"/>
          <w:sz w:val="24"/>
          <w:szCs w:val="24"/>
          <w:lang w:val="nl-NL"/>
        </w:rPr>
      </w:pPr>
      <w:r w:rsidRPr="0043209B">
        <w:rPr>
          <w:rFonts w:ascii="Times New Roman" w:hAnsi="Times New Roman"/>
          <w:sz w:val="24"/>
          <w:szCs w:val="24"/>
          <w:lang w:val="nl-NL"/>
        </w:rPr>
        <w:lastRenderedPageBreak/>
        <w:t>Mobiel Bankieren:</w:t>
      </w:r>
      <w:r w:rsidRPr="0043209B">
        <w:rPr>
          <w:rFonts w:ascii="Times New Roman" w:hAnsi="Times New Roman"/>
          <w:sz w:val="24"/>
          <w:szCs w:val="24"/>
          <w:lang w:val="nl-NL"/>
        </w:rPr>
        <w:br/>
        <w:t>Mobiel Bankieren biedt klanten gemakkelijke toegang tot hun rekeningen via een applicatie (app) op een mobiel apparaat. Deze Dienst wordt aangeboden als een aanvullende optie op de E-Banking Diensten van de Bank. Klanten erkennen dat mobiel Bankieren mogelijk niet toegankelijk is of beperkte functionaliteit heeft bij bepaalde netwerkproviders. Bovendien wordt mobiel Bankieren mogelijk niet ondersteund op alle mobiele apparaten. De Klant stemt ermee in de Bank niet verantwoordelijk te houden in het geval dat Mobiel Bankieren niet naar behoren functioneert op hun apparaat.</w:t>
      </w:r>
    </w:p>
    <w:p w14:paraId="1C696D15" w14:textId="77777777" w:rsidR="00173507" w:rsidRPr="0043209B" w:rsidRDefault="00173507" w:rsidP="0043209B">
      <w:pPr>
        <w:spacing w:line="23" w:lineRule="atLeast"/>
        <w:ind w:left="720"/>
        <w:rPr>
          <w:rFonts w:ascii="Times New Roman" w:hAnsi="Times New Roman"/>
          <w:sz w:val="24"/>
          <w:lang w:val="nl-NL"/>
        </w:rPr>
      </w:pPr>
      <w:r w:rsidRPr="0043209B">
        <w:rPr>
          <w:rFonts w:ascii="Times New Roman" w:hAnsi="Times New Roman"/>
          <w:sz w:val="24"/>
          <w:lang w:val="nl-NL"/>
        </w:rPr>
        <w:t>Om toegang te krijgen tot de E-Banking Diensten via Mobiel Bankieren, is een draagbaar computerapparaat, zoals een smartphone of tablet, vereist. Dit apparaat moet worden ondersteund door een Android- of iOS-besturingssysteem.</w:t>
      </w:r>
    </w:p>
    <w:p w14:paraId="3319D1E1" w14:textId="77777777" w:rsidR="002144BF" w:rsidRPr="0043209B" w:rsidRDefault="002144BF" w:rsidP="0043209B">
      <w:pPr>
        <w:spacing w:line="23" w:lineRule="atLeast"/>
        <w:ind w:left="720"/>
        <w:rPr>
          <w:rFonts w:ascii="Times New Roman" w:hAnsi="Times New Roman"/>
          <w:sz w:val="24"/>
          <w:lang w:val="nl-NL"/>
        </w:rPr>
      </w:pPr>
    </w:p>
    <w:p w14:paraId="138A70FC" w14:textId="77777777" w:rsidR="00173507" w:rsidRPr="0043209B" w:rsidRDefault="00173507" w:rsidP="0043209B">
      <w:pPr>
        <w:pStyle w:val="ListParagraph"/>
        <w:numPr>
          <w:ilvl w:val="0"/>
          <w:numId w:val="25"/>
        </w:numPr>
        <w:spacing w:after="0" w:line="23" w:lineRule="atLeast"/>
        <w:rPr>
          <w:rFonts w:ascii="Times New Roman" w:eastAsia="Times New Roman" w:hAnsi="Times New Roman"/>
          <w:sz w:val="24"/>
          <w:szCs w:val="24"/>
          <w:lang w:val="nl-NL"/>
        </w:rPr>
      </w:pPr>
      <w:r w:rsidRPr="0043209B">
        <w:rPr>
          <w:rFonts w:ascii="Times New Roman" w:eastAsia="Times New Roman" w:hAnsi="Times New Roman"/>
          <w:sz w:val="24"/>
          <w:szCs w:val="24"/>
          <w:lang w:val="nl-NL"/>
        </w:rPr>
        <w:t>Door zich te registreren voor E-Banking krijgt de Klant toegang tot de toegewezen rekeningen via internet, met gebruik van hun toegewezen gebruikersnaam, wachtwoord en aanvullende authenticatie (tot en met eenmalige wachtwoorden (OTP's) voor het gebruik van E-Banking in de browser) (‘E-Handtekening’), die, indien correct ingevoerd, de Klant toegang geeft tot E-Banking.</w:t>
      </w:r>
    </w:p>
    <w:p w14:paraId="411D296C" w14:textId="77777777" w:rsidR="00173507" w:rsidRPr="0043209B" w:rsidRDefault="00173507" w:rsidP="0043209B">
      <w:pPr>
        <w:spacing w:line="23" w:lineRule="atLeast"/>
        <w:ind w:left="720"/>
        <w:rPr>
          <w:rFonts w:ascii="Times New Roman" w:hAnsi="Times New Roman"/>
          <w:sz w:val="24"/>
          <w:lang w:val="nl-NL"/>
        </w:rPr>
      </w:pPr>
      <w:r w:rsidRPr="0043209B">
        <w:rPr>
          <w:rFonts w:ascii="Times New Roman" w:hAnsi="Times New Roman"/>
          <w:sz w:val="24"/>
          <w:lang w:val="nl-NL"/>
        </w:rPr>
        <w:t>Wanneer de Klant voor de eerste keer de Mobile Banking App op een mobiel apparaat gebruikt, moet het apparaat worden geregistreerd. Na registratie wordt de gebruikersnaam automatisch opgeslagen, zodat de Klant kan inloggen op het geregistreerde apparaat met de gekozen authenticatiemethode. Onder het authenticatiesysteem van de Bank zijn de beschikbare methoden onder andere een 4-, 5- of 6-cijferige PIN, OTP's, vingerafdruk- en gezichtsherkenning. De Klant kan de gewenste authenticatiemethode selecteren voor gebruik op hun apparaat na het inloggen.</w:t>
      </w:r>
    </w:p>
    <w:p w14:paraId="16CADEB7" w14:textId="77777777" w:rsidR="00173507" w:rsidRPr="0043209B" w:rsidRDefault="00173507" w:rsidP="0043209B">
      <w:pPr>
        <w:spacing w:line="23" w:lineRule="atLeast"/>
        <w:ind w:left="720"/>
        <w:rPr>
          <w:rFonts w:ascii="Times New Roman" w:hAnsi="Times New Roman"/>
          <w:sz w:val="24"/>
          <w:lang w:val="nl-NL"/>
        </w:rPr>
      </w:pPr>
      <w:r w:rsidRPr="0043209B">
        <w:rPr>
          <w:rFonts w:ascii="Times New Roman" w:hAnsi="Times New Roman"/>
          <w:sz w:val="24"/>
          <w:lang w:val="nl-NL"/>
        </w:rPr>
        <w:t>De Klant verleent de Bank toestemming om instructies die door de Klant zijn gegeven, zoals hierboven beschreven, te accepteren. Deze instructies worden als authentiek en onbetwistbaar beschouwd en zullen worden behandeld alsof de Klant deze schriftelijk had ingediend, waarbij de Bank wordt geïnstrueerd de overeenkomstige transacties of serviceverzoeken onder de E-Banking Diensten te verwerken.</w:t>
      </w:r>
    </w:p>
    <w:p w14:paraId="01680DFA" w14:textId="77777777" w:rsidR="002144BF" w:rsidRPr="0043209B" w:rsidRDefault="002144BF" w:rsidP="0043209B">
      <w:pPr>
        <w:spacing w:line="23" w:lineRule="atLeast"/>
        <w:ind w:left="720"/>
        <w:rPr>
          <w:rFonts w:ascii="Times New Roman" w:hAnsi="Times New Roman"/>
          <w:sz w:val="24"/>
          <w:lang w:val="nl-NL"/>
        </w:rPr>
      </w:pPr>
    </w:p>
    <w:p w14:paraId="7FCEDB15" w14:textId="77777777" w:rsidR="00173507" w:rsidRPr="0043209B" w:rsidRDefault="00173507" w:rsidP="0043209B">
      <w:pPr>
        <w:numPr>
          <w:ilvl w:val="0"/>
          <w:numId w:val="12"/>
        </w:numPr>
        <w:spacing w:line="23" w:lineRule="atLeast"/>
        <w:rPr>
          <w:rFonts w:ascii="Times New Roman" w:hAnsi="Times New Roman"/>
          <w:sz w:val="24"/>
          <w:lang w:val="nl-NL"/>
        </w:rPr>
      </w:pPr>
      <w:r w:rsidRPr="0043209B">
        <w:rPr>
          <w:rFonts w:ascii="Times New Roman" w:hAnsi="Times New Roman"/>
          <w:sz w:val="24"/>
          <w:lang w:val="nl-NL"/>
        </w:rPr>
        <w:t>De Klant kan elk geregistreerd apparaat verwijderen via de Mobile Banking App of via E-Banking. Nadat het apparaat is uitgeschreven, kan de Klant toegang krijgen tot hun rekeningen via Mobile Banking door hun E-Handtekening te gebruiken. De Klant heeft ook de mogelijkheid om Mobile Banking te deactiveren door zich uit te schrijven via E-Banking, wat de toegang tot E-Banking via de mobiele app zal verhinderen.</w:t>
      </w:r>
    </w:p>
    <w:p w14:paraId="3DB7B535" w14:textId="77777777" w:rsidR="00173507" w:rsidRPr="0043209B" w:rsidRDefault="00173507" w:rsidP="0043209B">
      <w:pPr>
        <w:spacing w:line="23" w:lineRule="atLeast"/>
        <w:ind w:left="720"/>
        <w:rPr>
          <w:rFonts w:ascii="Times New Roman" w:hAnsi="Times New Roman"/>
          <w:sz w:val="24"/>
          <w:lang w:val="nl-NL"/>
        </w:rPr>
      </w:pPr>
      <w:r w:rsidRPr="0043209B">
        <w:rPr>
          <w:rFonts w:ascii="Times New Roman" w:hAnsi="Times New Roman"/>
          <w:sz w:val="24"/>
          <w:lang w:val="nl-NL"/>
        </w:rPr>
        <w:t>In het geval dat het mobiele apparaat verloren gaat, gestolen wordt of aan een derde partij wordt overgedragen, moet de Klant het apparaat onmiddellijk uitschrijven via E-Banking of de mobile Banking app met behulp van een ander geregistreerd apparaat.</w:t>
      </w:r>
    </w:p>
    <w:p w14:paraId="74BF97B2" w14:textId="77777777" w:rsidR="002144BF" w:rsidRPr="0043209B" w:rsidRDefault="002144BF" w:rsidP="0043209B">
      <w:pPr>
        <w:spacing w:line="23" w:lineRule="atLeast"/>
        <w:ind w:left="720"/>
        <w:rPr>
          <w:rFonts w:ascii="Times New Roman" w:hAnsi="Times New Roman"/>
          <w:sz w:val="24"/>
          <w:lang w:val="nl-NL"/>
        </w:rPr>
      </w:pPr>
    </w:p>
    <w:p w14:paraId="4BAF8067" w14:textId="77777777" w:rsidR="00173507" w:rsidRPr="0043209B" w:rsidRDefault="00173507" w:rsidP="0043209B">
      <w:pPr>
        <w:numPr>
          <w:ilvl w:val="0"/>
          <w:numId w:val="13"/>
        </w:numPr>
        <w:spacing w:line="23" w:lineRule="atLeast"/>
        <w:rPr>
          <w:rFonts w:ascii="Times New Roman" w:hAnsi="Times New Roman"/>
          <w:sz w:val="24"/>
          <w:lang w:val="nl-NL"/>
        </w:rPr>
      </w:pPr>
      <w:r w:rsidRPr="0043209B">
        <w:rPr>
          <w:rFonts w:ascii="Times New Roman" w:hAnsi="Times New Roman"/>
          <w:sz w:val="24"/>
          <w:lang w:val="nl-NL"/>
        </w:rPr>
        <w:t>Klanten die gebruikmaken van E-Banking kunnen ervoor kiezen om meldingen te ontvangen voor verschillende transacties, zoals saldo-updates, transactie notificaties en beveiligingsmeldingen, onder andere. Deze meldingen worden verstuurd via e-mail, pushmeldingen naar geregistreerde mobiele apparaten en beveiligde berichten in de E-Banking inbox. Het is de verantwoordelijkheid van de Klant om hun e-mailadressen en geregistreerde apparaten up-to-date te houden.</w:t>
      </w:r>
    </w:p>
    <w:p w14:paraId="26DDDA91" w14:textId="77777777" w:rsidR="00173507" w:rsidRPr="0043209B" w:rsidRDefault="00173507" w:rsidP="0043209B">
      <w:pPr>
        <w:spacing w:line="23" w:lineRule="atLeast"/>
        <w:ind w:left="720"/>
        <w:rPr>
          <w:rFonts w:ascii="Times New Roman" w:hAnsi="Times New Roman"/>
          <w:sz w:val="24"/>
          <w:lang w:val="nl-NL"/>
        </w:rPr>
      </w:pPr>
      <w:r w:rsidRPr="0043209B">
        <w:rPr>
          <w:rFonts w:ascii="Times New Roman" w:hAnsi="Times New Roman"/>
          <w:sz w:val="24"/>
          <w:lang w:val="nl-NL"/>
        </w:rPr>
        <w:t xml:space="preserve">Accountmeldingen zijn uitsluitend bedoeld voor informatieve doeleinden en zijn niet bedoeld als vervanging voor andere vormen van communicatie met betrekking tot Klantrekeningen bij </w:t>
      </w:r>
      <w:r w:rsidRPr="0043209B">
        <w:rPr>
          <w:rFonts w:ascii="Times New Roman" w:hAnsi="Times New Roman"/>
          <w:sz w:val="24"/>
          <w:lang w:val="nl-NL"/>
        </w:rPr>
        <w:lastRenderedPageBreak/>
        <w:t>de Bank. De Bank is niet aansprakelijk voor enig financieel verlies veroorzaakt door een vertraging in het ontvangen van een melding. Aangezien de meldingen onbeveiligd zijn, kunnen ze toegankelijk zijn voor anderen als de Klant hen toestaat hun mobiele apparaat te bekijken. Het is de verantwoordelijkheid van de Klant om de beveiliging van deze informatie te waarborgen.</w:t>
      </w:r>
    </w:p>
    <w:p w14:paraId="21DA2377" w14:textId="77777777" w:rsidR="002144BF" w:rsidRPr="0043209B" w:rsidRDefault="002144BF" w:rsidP="0043209B">
      <w:pPr>
        <w:spacing w:line="23" w:lineRule="atLeast"/>
        <w:ind w:left="720"/>
        <w:rPr>
          <w:rFonts w:ascii="Times New Roman" w:hAnsi="Times New Roman"/>
          <w:sz w:val="24"/>
          <w:lang w:val="nl-NL"/>
        </w:rPr>
      </w:pPr>
    </w:p>
    <w:p w14:paraId="2816BCC7" w14:textId="77777777" w:rsidR="00173507" w:rsidRPr="0043209B" w:rsidRDefault="00173507" w:rsidP="0043209B">
      <w:pPr>
        <w:pStyle w:val="ListParagraph"/>
        <w:numPr>
          <w:ilvl w:val="0"/>
          <w:numId w:val="13"/>
        </w:numPr>
        <w:spacing w:after="0" w:line="23" w:lineRule="atLeast"/>
        <w:rPr>
          <w:rFonts w:ascii="Times New Roman" w:eastAsia="Times New Roman" w:hAnsi="Times New Roman"/>
          <w:sz w:val="24"/>
          <w:szCs w:val="24"/>
          <w:lang w:val="nl-NL"/>
        </w:rPr>
      </w:pPr>
      <w:r w:rsidRPr="0043209B">
        <w:rPr>
          <w:rFonts w:ascii="Times New Roman" w:eastAsia="Times New Roman" w:hAnsi="Times New Roman"/>
          <w:sz w:val="24"/>
          <w:szCs w:val="24"/>
          <w:lang w:val="nl-NL"/>
        </w:rPr>
        <w:t>Voor Zakelijke (E-Banking) Diensten heeft de Klant de optie om een Master User (een speciale gebruikersnaam voor Zakelijke E-Banking Diensten) aan de rekening toe te voegen. De Master User heeft de mogelijkheid om Eindgebruikers (gebruikersnamen voor Zakelijke E-Banking Diensten) te creëren, beheren en deactiveren. De Master User bepaalt de toegangsrechten, transactiegrenzen en applicatietoegang voor elke Eindgebruiker op de rekening. Eindgebruikers worden gecreëerd en beheerd door de Master User en kunnen E-Banking transacties uitvoeren zoals toegestaan door de Master User. De Master User is niet gemachtigd om financiële transacties uit te voeren.</w:t>
      </w:r>
    </w:p>
    <w:p w14:paraId="0B54D871" w14:textId="77777777" w:rsidR="00173507" w:rsidRPr="0043209B" w:rsidRDefault="00173507" w:rsidP="0043209B">
      <w:pPr>
        <w:pStyle w:val="ListParagraph"/>
        <w:spacing w:after="0" w:line="23" w:lineRule="atLeast"/>
        <w:rPr>
          <w:rFonts w:ascii="Times New Roman" w:eastAsia="Times New Roman" w:hAnsi="Times New Roman"/>
          <w:sz w:val="24"/>
          <w:szCs w:val="24"/>
          <w:lang w:val="nl-NL"/>
        </w:rPr>
      </w:pPr>
    </w:p>
    <w:p w14:paraId="510018BA" w14:textId="77777777" w:rsidR="00173507" w:rsidRPr="0043209B" w:rsidRDefault="00173507" w:rsidP="0043209B">
      <w:pPr>
        <w:pStyle w:val="ListParagraph"/>
        <w:numPr>
          <w:ilvl w:val="0"/>
          <w:numId w:val="13"/>
        </w:numPr>
        <w:spacing w:after="0" w:line="23" w:lineRule="atLeast"/>
        <w:rPr>
          <w:rFonts w:ascii="Times New Roman" w:eastAsia="Times New Roman" w:hAnsi="Times New Roman"/>
          <w:sz w:val="24"/>
          <w:szCs w:val="24"/>
          <w:lang w:val="nl-NL"/>
        </w:rPr>
      </w:pPr>
      <w:r w:rsidRPr="0043209B">
        <w:rPr>
          <w:rFonts w:ascii="Times New Roman" w:eastAsia="Times New Roman" w:hAnsi="Times New Roman"/>
          <w:sz w:val="24"/>
          <w:szCs w:val="24"/>
          <w:lang w:val="nl-NL"/>
        </w:rPr>
        <w:t xml:space="preserve">De Klant erkent dat hij een Master User kan aanwijzen om het online Bankieren voor de rekening van de Klant te beheren. De Klant blijft volledig verantwoordelijk voor alle transacties die door de Master User en eventuele Eindgebruikers onder de bevoegdheid van de Master User worden uitgevoerd, inclusief maar niet beperkt tot ongeautoriseerde transacties. De Klant is verantwoordelijk om de Bank onmiddellijk te informeren over wijzigingen in de toegangsrechten van de Master User en hun online Bankieren dienovereenkomstig bij te werken. </w:t>
      </w:r>
      <w:proofErr w:type="gramStart"/>
      <w:r w:rsidRPr="0043209B">
        <w:rPr>
          <w:rFonts w:ascii="Times New Roman" w:eastAsia="Times New Roman" w:hAnsi="Times New Roman"/>
          <w:sz w:val="24"/>
          <w:szCs w:val="24"/>
          <w:lang w:val="nl-NL"/>
        </w:rPr>
        <w:t>Indien</w:t>
      </w:r>
      <w:proofErr w:type="gramEnd"/>
      <w:r w:rsidRPr="0043209B">
        <w:rPr>
          <w:rFonts w:ascii="Times New Roman" w:eastAsia="Times New Roman" w:hAnsi="Times New Roman"/>
          <w:sz w:val="24"/>
          <w:szCs w:val="24"/>
          <w:lang w:val="nl-NL"/>
        </w:rPr>
        <w:t xml:space="preserve"> de Klant nalaat de Bank op de hoogte te stellen van dergelijke wijzigingen, kan de Klant de Bank niet aansprakelijk stellen voor transacties of verliezen die voortvloeien uit het niet melden van deze wijzigingen.</w:t>
      </w:r>
    </w:p>
    <w:p w14:paraId="0BC181D2" w14:textId="77777777" w:rsidR="00173507" w:rsidRPr="0043209B" w:rsidRDefault="00173507" w:rsidP="0043209B">
      <w:pPr>
        <w:pStyle w:val="ListParagraph"/>
        <w:spacing w:after="0"/>
        <w:rPr>
          <w:rFonts w:ascii="Times New Roman" w:eastAsia="Times New Roman" w:hAnsi="Times New Roman"/>
          <w:sz w:val="24"/>
          <w:szCs w:val="24"/>
          <w:lang w:val="nl-NL"/>
        </w:rPr>
      </w:pPr>
    </w:p>
    <w:p w14:paraId="199E1E7F" w14:textId="77777777" w:rsidR="00173507" w:rsidRPr="0043209B" w:rsidRDefault="00173507" w:rsidP="0043209B">
      <w:pPr>
        <w:pStyle w:val="ListParagraph"/>
        <w:numPr>
          <w:ilvl w:val="0"/>
          <w:numId w:val="13"/>
        </w:numPr>
        <w:spacing w:after="0" w:line="23" w:lineRule="atLeast"/>
        <w:rPr>
          <w:rFonts w:ascii="Times New Roman" w:eastAsia="Times New Roman" w:hAnsi="Times New Roman"/>
          <w:sz w:val="24"/>
          <w:szCs w:val="24"/>
          <w:lang w:val="nl-NL"/>
        </w:rPr>
      </w:pPr>
      <w:r w:rsidRPr="0043209B">
        <w:rPr>
          <w:rFonts w:ascii="Times New Roman" w:eastAsia="Times New Roman" w:hAnsi="Times New Roman"/>
          <w:sz w:val="24"/>
          <w:szCs w:val="24"/>
          <w:lang w:val="nl-NL"/>
        </w:rPr>
        <w:t>Eindgebruikers kunnen gemachtigd worden om toegang te krijgen tot en gebruik te maken van de E-Banking Diensten die zijn ingesteld en beheerd door de Master User, met toestemming om E-Banking transacties uit te voeren zoals aangegeven en onder toezicht van de Master User. De Klant blijft echter volledig aansprakelijk voor alle activiteiten die op hun rekening worden uitgevoerd.</w:t>
      </w:r>
    </w:p>
    <w:p w14:paraId="6204B35E" w14:textId="77777777" w:rsidR="00173507" w:rsidRPr="0043209B" w:rsidRDefault="00173507" w:rsidP="0043209B">
      <w:pPr>
        <w:pStyle w:val="ListParagraph"/>
        <w:spacing w:after="0"/>
        <w:rPr>
          <w:rFonts w:ascii="Times New Roman" w:eastAsia="Times New Roman" w:hAnsi="Times New Roman"/>
          <w:sz w:val="24"/>
          <w:szCs w:val="24"/>
          <w:lang w:val="nl-NL"/>
        </w:rPr>
      </w:pPr>
    </w:p>
    <w:p w14:paraId="6962170E" w14:textId="77777777" w:rsidR="00173507" w:rsidRPr="0043209B" w:rsidRDefault="00173507" w:rsidP="0043209B">
      <w:pPr>
        <w:pStyle w:val="ListParagraph"/>
        <w:numPr>
          <w:ilvl w:val="0"/>
          <w:numId w:val="13"/>
        </w:numPr>
        <w:spacing w:after="0" w:line="23" w:lineRule="atLeast"/>
        <w:rPr>
          <w:rFonts w:ascii="Times New Roman" w:eastAsia="Times New Roman" w:hAnsi="Times New Roman"/>
          <w:sz w:val="24"/>
          <w:szCs w:val="24"/>
          <w:lang w:val="nl-NL"/>
        </w:rPr>
      </w:pPr>
      <w:r w:rsidRPr="0043209B">
        <w:rPr>
          <w:rFonts w:ascii="Times New Roman" w:eastAsia="Times New Roman" w:hAnsi="Times New Roman"/>
          <w:sz w:val="24"/>
          <w:szCs w:val="24"/>
          <w:lang w:val="nl-NL"/>
        </w:rPr>
        <w:t>De Klant is verantwoordelijk voor het up-to-date houden van de Apparaten die worden gebruikt om toegang te krijgen tot de Diensten. De Bank is niet aansprakelijk voor enige storing van de Apparaten, malfuncties van software die op de Apparaten draait, of voor enige software van derden of communicatiesystemen waarmee toegang tot de Diensten kan worden verkregen. De Klant verplicht zich om regelmatig antivirussoftware te gebruiken en zijn apparatuur te scannen op schadelijke virussen en programma's.</w:t>
      </w:r>
    </w:p>
    <w:p w14:paraId="731B623A" w14:textId="77777777" w:rsidR="00173507" w:rsidRPr="0043209B" w:rsidRDefault="00173507" w:rsidP="0043209B">
      <w:pPr>
        <w:pStyle w:val="ListParagraph"/>
        <w:spacing w:after="0"/>
        <w:rPr>
          <w:rFonts w:ascii="Times New Roman" w:eastAsia="Times New Roman" w:hAnsi="Times New Roman"/>
          <w:sz w:val="24"/>
          <w:szCs w:val="24"/>
          <w:lang w:val="nl-NL"/>
        </w:rPr>
      </w:pPr>
    </w:p>
    <w:p w14:paraId="7C944BB8" w14:textId="77777777" w:rsidR="00173507" w:rsidRPr="0043209B" w:rsidRDefault="00173507" w:rsidP="0043209B">
      <w:pPr>
        <w:pStyle w:val="ListParagraph"/>
        <w:numPr>
          <w:ilvl w:val="0"/>
          <w:numId w:val="13"/>
        </w:numPr>
        <w:spacing w:after="0" w:line="23" w:lineRule="atLeast"/>
        <w:rPr>
          <w:rFonts w:ascii="Times New Roman" w:eastAsia="Times New Roman" w:hAnsi="Times New Roman"/>
          <w:sz w:val="24"/>
          <w:szCs w:val="24"/>
          <w:lang w:val="nl-NL"/>
        </w:rPr>
      </w:pPr>
      <w:r w:rsidRPr="0043209B">
        <w:rPr>
          <w:rFonts w:ascii="Times New Roman" w:eastAsia="Times New Roman" w:hAnsi="Times New Roman"/>
          <w:sz w:val="24"/>
          <w:szCs w:val="24"/>
          <w:lang w:val="nl-NL"/>
        </w:rPr>
        <w:t xml:space="preserve">De Klant is verantwoordelijk voor eventuele fouten die voortvloeien uit het onjuist verstrekken of selecteren van rekeningnummers, bedragen of andere noodzakelijke informatie die vereist is voor het juiste functioneren van E-Banking. </w:t>
      </w:r>
      <w:proofErr w:type="gramStart"/>
      <w:r w:rsidRPr="0043209B">
        <w:rPr>
          <w:rFonts w:ascii="Times New Roman" w:eastAsia="Times New Roman" w:hAnsi="Times New Roman"/>
          <w:sz w:val="24"/>
          <w:szCs w:val="24"/>
          <w:lang w:val="nl-NL"/>
        </w:rPr>
        <w:t>Indien</w:t>
      </w:r>
      <w:proofErr w:type="gramEnd"/>
      <w:r w:rsidRPr="0043209B">
        <w:rPr>
          <w:rFonts w:ascii="Times New Roman" w:eastAsia="Times New Roman" w:hAnsi="Times New Roman"/>
          <w:sz w:val="24"/>
          <w:szCs w:val="24"/>
          <w:lang w:val="nl-NL"/>
        </w:rPr>
        <w:t xml:space="preserve"> de Klant betalingen uitvoert naar onjuiste begunstigde rekeningen of banken, ligt de volledige verantwoordelijkheid voor deze betalingen bij de Klant. De Bank is niet in staat deze transacties terug te draaien. Eventuele daaruit voortvloeiende verliezen komen volledig, onmiddellijk en onvoorwaardelijk voor rekening van de Klant.</w:t>
      </w:r>
    </w:p>
    <w:p w14:paraId="6029CD66" w14:textId="77777777" w:rsidR="00173507" w:rsidRPr="0043209B" w:rsidRDefault="00173507" w:rsidP="0043209B">
      <w:pPr>
        <w:pStyle w:val="ListParagraph"/>
        <w:spacing w:after="0" w:line="23" w:lineRule="atLeast"/>
        <w:rPr>
          <w:rFonts w:ascii="Times New Roman" w:eastAsia="Times New Roman" w:hAnsi="Times New Roman"/>
          <w:sz w:val="24"/>
          <w:szCs w:val="24"/>
          <w:lang w:val="nl-NL"/>
        </w:rPr>
      </w:pPr>
    </w:p>
    <w:p w14:paraId="3EB9B020" w14:textId="77777777" w:rsidR="00173507" w:rsidRPr="0043209B" w:rsidRDefault="00173507" w:rsidP="0043209B">
      <w:pPr>
        <w:pStyle w:val="ListParagraph"/>
        <w:numPr>
          <w:ilvl w:val="0"/>
          <w:numId w:val="13"/>
        </w:numPr>
        <w:spacing w:after="0" w:line="23" w:lineRule="atLeast"/>
        <w:rPr>
          <w:rFonts w:ascii="Times New Roman" w:eastAsia="Times New Roman" w:hAnsi="Times New Roman"/>
          <w:sz w:val="24"/>
          <w:szCs w:val="24"/>
          <w:lang w:val="nl-NL"/>
        </w:rPr>
      </w:pPr>
      <w:r w:rsidRPr="0043209B">
        <w:rPr>
          <w:rFonts w:ascii="Times New Roman" w:eastAsia="Times New Roman" w:hAnsi="Times New Roman"/>
          <w:sz w:val="24"/>
          <w:szCs w:val="24"/>
          <w:lang w:val="nl-NL"/>
        </w:rPr>
        <w:lastRenderedPageBreak/>
        <w:t xml:space="preserve">De Bank is niet aansprakelijk </w:t>
      </w:r>
      <w:proofErr w:type="gramStart"/>
      <w:r w:rsidRPr="0043209B">
        <w:rPr>
          <w:rFonts w:ascii="Times New Roman" w:eastAsia="Times New Roman" w:hAnsi="Times New Roman"/>
          <w:sz w:val="24"/>
          <w:szCs w:val="24"/>
          <w:lang w:val="nl-NL"/>
        </w:rPr>
        <w:t>jegens</w:t>
      </w:r>
      <w:proofErr w:type="gramEnd"/>
      <w:r w:rsidRPr="0043209B">
        <w:rPr>
          <w:rFonts w:ascii="Times New Roman" w:eastAsia="Times New Roman" w:hAnsi="Times New Roman"/>
          <w:sz w:val="24"/>
          <w:szCs w:val="24"/>
          <w:lang w:val="nl-NL"/>
        </w:rPr>
        <w:t xml:space="preserve"> de Klant </w:t>
      </w:r>
      <w:proofErr w:type="gramStart"/>
      <w:r w:rsidRPr="0043209B">
        <w:rPr>
          <w:rFonts w:ascii="Times New Roman" w:eastAsia="Times New Roman" w:hAnsi="Times New Roman"/>
          <w:sz w:val="24"/>
          <w:szCs w:val="24"/>
          <w:lang w:val="nl-NL"/>
        </w:rPr>
        <w:t>indien</w:t>
      </w:r>
      <w:proofErr w:type="gramEnd"/>
      <w:r w:rsidRPr="0043209B">
        <w:rPr>
          <w:rFonts w:ascii="Times New Roman" w:eastAsia="Times New Roman" w:hAnsi="Times New Roman"/>
          <w:sz w:val="24"/>
          <w:szCs w:val="24"/>
          <w:lang w:val="nl-NL"/>
        </w:rPr>
        <w:t xml:space="preserve"> een betaling via E-Banking of Mobile Banking wordt uitgevoerd naar een begunstigde die zijn of haar rekeninggegevens niet heeft bijgewerkt, noch </w:t>
      </w:r>
      <w:proofErr w:type="gramStart"/>
      <w:r w:rsidRPr="0043209B">
        <w:rPr>
          <w:rFonts w:ascii="Times New Roman" w:eastAsia="Times New Roman" w:hAnsi="Times New Roman"/>
          <w:sz w:val="24"/>
          <w:szCs w:val="24"/>
          <w:lang w:val="nl-NL"/>
        </w:rPr>
        <w:t>indien</w:t>
      </w:r>
      <w:proofErr w:type="gramEnd"/>
      <w:r w:rsidRPr="0043209B">
        <w:rPr>
          <w:rFonts w:ascii="Times New Roman" w:eastAsia="Times New Roman" w:hAnsi="Times New Roman"/>
          <w:sz w:val="24"/>
          <w:szCs w:val="24"/>
          <w:lang w:val="nl-NL"/>
        </w:rPr>
        <w:t xml:space="preserve"> de Klant de betalingsgegevens van de begunstigde niet heeft geactualiseerd via E-Banking. Toegang tot E-Banking kan worden beperkt </w:t>
      </w:r>
      <w:proofErr w:type="gramStart"/>
      <w:r w:rsidRPr="0043209B">
        <w:rPr>
          <w:rFonts w:ascii="Times New Roman" w:eastAsia="Times New Roman" w:hAnsi="Times New Roman"/>
          <w:sz w:val="24"/>
          <w:szCs w:val="24"/>
          <w:lang w:val="nl-NL"/>
        </w:rPr>
        <w:t>indien</w:t>
      </w:r>
      <w:proofErr w:type="gramEnd"/>
      <w:r w:rsidRPr="0043209B">
        <w:rPr>
          <w:rFonts w:ascii="Times New Roman" w:eastAsia="Times New Roman" w:hAnsi="Times New Roman"/>
          <w:sz w:val="24"/>
          <w:szCs w:val="24"/>
          <w:lang w:val="nl-NL"/>
        </w:rPr>
        <w:t xml:space="preserve"> de rekening inactief is, en transacties zoals overboekingen of betalingen kunnen niet worden verwerkt vanaf rekeningen met onvoldoende saldo.</w:t>
      </w:r>
    </w:p>
    <w:p w14:paraId="04BD29BF" w14:textId="77777777" w:rsidR="002144BF" w:rsidRPr="0043209B" w:rsidRDefault="002144BF" w:rsidP="0043209B">
      <w:pPr>
        <w:spacing w:line="23" w:lineRule="atLeast"/>
        <w:rPr>
          <w:rFonts w:ascii="Times New Roman" w:hAnsi="Times New Roman"/>
          <w:sz w:val="24"/>
          <w:lang w:val="nl-NL"/>
        </w:rPr>
      </w:pPr>
    </w:p>
    <w:p w14:paraId="74A68EF1" w14:textId="77777777" w:rsidR="00173507" w:rsidRPr="0043209B" w:rsidRDefault="00173507" w:rsidP="0043209B">
      <w:pPr>
        <w:numPr>
          <w:ilvl w:val="0"/>
          <w:numId w:val="14"/>
        </w:numPr>
        <w:rPr>
          <w:rFonts w:ascii="Times New Roman" w:hAnsi="Times New Roman"/>
          <w:sz w:val="24"/>
          <w:lang w:val="nl-NL"/>
        </w:rPr>
      </w:pPr>
      <w:r w:rsidRPr="0043209B">
        <w:rPr>
          <w:rFonts w:ascii="Times New Roman" w:hAnsi="Times New Roman"/>
          <w:sz w:val="24"/>
          <w:lang w:val="nl-NL"/>
        </w:rPr>
        <w:t xml:space="preserve">Behalve voor zover de schade toe te rekenen is aan de Bank of haar functionarissen of medewerkers, is de Bank niet aansprakelijk </w:t>
      </w:r>
      <w:proofErr w:type="gramStart"/>
      <w:r w:rsidRPr="0043209B">
        <w:rPr>
          <w:rFonts w:ascii="Times New Roman" w:hAnsi="Times New Roman"/>
          <w:sz w:val="24"/>
          <w:lang w:val="nl-NL"/>
        </w:rPr>
        <w:t>jegens</w:t>
      </w:r>
      <w:proofErr w:type="gramEnd"/>
      <w:r w:rsidRPr="0043209B">
        <w:rPr>
          <w:rFonts w:ascii="Times New Roman" w:hAnsi="Times New Roman"/>
          <w:sz w:val="24"/>
          <w:lang w:val="nl-NL"/>
        </w:rPr>
        <w:t xml:space="preserve"> de Klant voor enig verlies, vertraging, schade (direct of indirect), of enig ongemak voortvloeiend uit of verband houdend met het verlenen of niet-verlenen van enige Diensten onder deze Algemene Voorwaarden, ongeacht of de Klant daardoor nadeel ondervindt in het kader van de Diensten, en in het bijzonder – maar niet uitsluitend – als gevolg van: </w:t>
      </w:r>
    </w:p>
    <w:p w14:paraId="34C6B328" w14:textId="1788C4BB" w:rsidR="00173507" w:rsidRPr="0043209B" w:rsidRDefault="00173507" w:rsidP="0043209B">
      <w:pPr>
        <w:pStyle w:val="ListParagraph"/>
        <w:numPr>
          <w:ilvl w:val="0"/>
          <w:numId w:val="29"/>
        </w:numPr>
        <w:spacing w:after="0" w:line="240" w:lineRule="auto"/>
        <w:rPr>
          <w:rFonts w:ascii="Times New Roman" w:eastAsia="Times New Roman" w:hAnsi="Times New Roman"/>
          <w:sz w:val="24"/>
          <w:szCs w:val="24"/>
          <w:lang w:val="nl-NL"/>
        </w:rPr>
      </w:pPr>
      <w:r w:rsidRPr="0043209B">
        <w:rPr>
          <w:rFonts w:ascii="Times New Roman" w:hAnsi="Times New Roman"/>
          <w:sz w:val="24"/>
          <w:szCs w:val="24"/>
          <w:lang w:val="nl-NL"/>
        </w:rPr>
        <w:t xml:space="preserve">Enig verlies, schade of vernietiging van de hardware, software of andere gegevensverwerkende systemen van de Klant als gevolg van het gebruik van de Dienst; </w:t>
      </w:r>
    </w:p>
    <w:p w14:paraId="45D3C5E5" w14:textId="77777777" w:rsidR="00173507" w:rsidRPr="0043209B" w:rsidRDefault="00173507" w:rsidP="0043209B">
      <w:pPr>
        <w:pStyle w:val="ListParagraph"/>
        <w:numPr>
          <w:ilvl w:val="0"/>
          <w:numId w:val="29"/>
        </w:numPr>
        <w:spacing w:after="0" w:line="240" w:lineRule="auto"/>
        <w:rPr>
          <w:rFonts w:ascii="Times New Roman" w:eastAsia="Times New Roman" w:hAnsi="Times New Roman"/>
          <w:sz w:val="24"/>
          <w:szCs w:val="24"/>
          <w:lang w:val="nl-NL"/>
        </w:rPr>
      </w:pPr>
      <w:r w:rsidRPr="0043209B">
        <w:rPr>
          <w:rFonts w:ascii="Times New Roman" w:eastAsia="Times New Roman" w:hAnsi="Times New Roman"/>
          <w:sz w:val="24"/>
          <w:szCs w:val="24"/>
          <w:lang w:val="nl-NL"/>
        </w:rPr>
        <w:t xml:space="preserve">Een schending van vertrouwelijkheid die direct of indirect voortkomt uit het gebruik van de Dienst door de Klant; </w:t>
      </w:r>
    </w:p>
    <w:p w14:paraId="685BBD27" w14:textId="77777777" w:rsidR="00173507" w:rsidRPr="0043209B" w:rsidRDefault="00173507" w:rsidP="0043209B">
      <w:pPr>
        <w:pStyle w:val="ListParagraph"/>
        <w:numPr>
          <w:ilvl w:val="0"/>
          <w:numId w:val="29"/>
        </w:numPr>
        <w:spacing w:after="0" w:line="240" w:lineRule="auto"/>
        <w:rPr>
          <w:rFonts w:ascii="Times New Roman" w:eastAsia="Times New Roman" w:hAnsi="Times New Roman"/>
          <w:sz w:val="24"/>
          <w:szCs w:val="24"/>
          <w:lang w:val="nl-NL"/>
        </w:rPr>
      </w:pPr>
      <w:r w:rsidRPr="0043209B">
        <w:rPr>
          <w:rFonts w:ascii="Times New Roman" w:eastAsia="Times New Roman" w:hAnsi="Times New Roman"/>
          <w:sz w:val="24"/>
          <w:szCs w:val="24"/>
          <w:lang w:val="nl-NL"/>
        </w:rPr>
        <w:t xml:space="preserve">Fouten, onnauwkeurigheden of omissies in de werking van de Dienst; enige onbeschikbaarheid, vertraging, storing of onderbreking of onjuiste werking van de Dienst; </w:t>
      </w:r>
    </w:p>
    <w:p w14:paraId="22746EA4" w14:textId="77777777" w:rsidR="00173507" w:rsidRPr="0043209B" w:rsidRDefault="00173507" w:rsidP="0043209B">
      <w:pPr>
        <w:pStyle w:val="ListParagraph"/>
        <w:numPr>
          <w:ilvl w:val="0"/>
          <w:numId w:val="29"/>
        </w:numPr>
        <w:spacing w:after="0" w:line="240" w:lineRule="auto"/>
        <w:rPr>
          <w:rFonts w:ascii="Times New Roman" w:eastAsia="Times New Roman" w:hAnsi="Times New Roman"/>
          <w:sz w:val="24"/>
          <w:szCs w:val="24"/>
          <w:lang w:val="nl-NL"/>
        </w:rPr>
      </w:pPr>
      <w:r w:rsidRPr="0043209B">
        <w:rPr>
          <w:rFonts w:ascii="Times New Roman" w:eastAsia="Times New Roman" w:hAnsi="Times New Roman"/>
          <w:sz w:val="24"/>
          <w:szCs w:val="24"/>
          <w:lang w:val="nl-NL"/>
        </w:rPr>
        <w:t>Een zaak die voortkomt uit oorzaken buiten de controle van de Bank;</w:t>
      </w:r>
    </w:p>
    <w:p w14:paraId="799A09B0" w14:textId="77777777" w:rsidR="0043209B" w:rsidRPr="0043209B" w:rsidRDefault="0043209B" w:rsidP="0043209B">
      <w:pPr>
        <w:rPr>
          <w:rFonts w:ascii="Times New Roman" w:hAnsi="Times New Roman"/>
          <w:sz w:val="24"/>
          <w:lang w:val="nl-NL"/>
        </w:rPr>
      </w:pPr>
    </w:p>
    <w:p w14:paraId="67C54B83" w14:textId="74CD0DDF" w:rsidR="00173507" w:rsidRPr="0043209B" w:rsidRDefault="00173507" w:rsidP="0043209B">
      <w:pPr>
        <w:ind w:left="720"/>
        <w:rPr>
          <w:rFonts w:ascii="Times New Roman" w:hAnsi="Times New Roman"/>
          <w:sz w:val="24"/>
          <w:lang w:val="nl-NL"/>
        </w:rPr>
      </w:pPr>
      <w:r w:rsidRPr="0043209B">
        <w:rPr>
          <w:rFonts w:ascii="Times New Roman" w:hAnsi="Times New Roman"/>
          <w:sz w:val="24"/>
          <w:lang w:val="nl-NL"/>
        </w:rPr>
        <w:t>De Bank is ook niet aansprakelijk voor enig verlies, schade of openbaarmaking van informatie als gevolg van, inclusief maar niet beperkt tot, het verlies of de diefstal van mobiele of andere apparaten of de overdracht van dergelijke apparaten aan een derde partij.</w:t>
      </w:r>
    </w:p>
    <w:p w14:paraId="3FAA9974" w14:textId="77777777" w:rsidR="002144BF" w:rsidRPr="0043209B" w:rsidRDefault="002144BF" w:rsidP="0043209B">
      <w:pPr>
        <w:ind w:left="720"/>
        <w:rPr>
          <w:rFonts w:ascii="Times New Roman" w:hAnsi="Times New Roman"/>
          <w:sz w:val="24"/>
          <w:lang w:val="nl-NL"/>
        </w:rPr>
      </w:pPr>
    </w:p>
    <w:p w14:paraId="16EEDACD" w14:textId="77777777" w:rsidR="00173507" w:rsidRPr="0043209B" w:rsidRDefault="00173507" w:rsidP="0043209B">
      <w:pPr>
        <w:numPr>
          <w:ilvl w:val="0"/>
          <w:numId w:val="16"/>
        </w:numPr>
        <w:rPr>
          <w:rFonts w:ascii="Times New Roman" w:hAnsi="Times New Roman"/>
          <w:sz w:val="24"/>
          <w:lang w:val="nl-NL"/>
        </w:rPr>
      </w:pPr>
      <w:r w:rsidRPr="0043209B">
        <w:rPr>
          <w:rFonts w:ascii="Times New Roman" w:hAnsi="Times New Roman"/>
          <w:sz w:val="24"/>
          <w:lang w:val="nl-NL"/>
        </w:rPr>
        <w:t xml:space="preserve">De Bank zal redelijke zorg dragen om ervoor te zorgen dat Klantinformatie beschermd blijft tegen onbevoegde toegang en vertrouwelijk blijft. Enige verstrekking van dergelijke informatie door de Bank aan een derde partij die deze informatie dient te kennen om de correcte werking van de Dienst te waarborgen, zal geen schending van de verplichtingen van de Bank onder deze clausule vormen. </w:t>
      </w:r>
    </w:p>
    <w:p w14:paraId="3BC8A8BF" w14:textId="77777777" w:rsidR="0043209B" w:rsidRPr="0043209B" w:rsidRDefault="0043209B" w:rsidP="0043209B">
      <w:pPr>
        <w:ind w:left="720"/>
        <w:rPr>
          <w:rFonts w:ascii="Times New Roman" w:hAnsi="Times New Roman"/>
          <w:sz w:val="24"/>
          <w:lang w:val="nl-NL"/>
        </w:rPr>
      </w:pPr>
    </w:p>
    <w:p w14:paraId="644CA7C3" w14:textId="5BC8A757" w:rsidR="00173507" w:rsidRPr="0043209B" w:rsidRDefault="00173507" w:rsidP="0043209B">
      <w:pPr>
        <w:ind w:left="720"/>
        <w:rPr>
          <w:rFonts w:ascii="Times New Roman" w:hAnsi="Times New Roman"/>
          <w:sz w:val="24"/>
          <w:lang w:val="nl-NL"/>
        </w:rPr>
      </w:pPr>
      <w:proofErr w:type="gramStart"/>
      <w:r w:rsidRPr="0043209B">
        <w:rPr>
          <w:rFonts w:ascii="Times New Roman" w:hAnsi="Times New Roman"/>
          <w:sz w:val="24"/>
          <w:lang w:val="nl-NL"/>
        </w:rPr>
        <w:t>Indien</w:t>
      </w:r>
      <w:proofErr w:type="gramEnd"/>
      <w:r w:rsidRPr="0043209B">
        <w:rPr>
          <w:rFonts w:ascii="Times New Roman" w:hAnsi="Times New Roman"/>
          <w:sz w:val="24"/>
          <w:lang w:val="nl-NL"/>
        </w:rPr>
        <w:t xml:space="preserve"> de Klant rekeningen aanwijst waarvoor de Dienst zal worden verstrekt en die niet op naam van de Klant staan, stemt de Klant in ervoor te zorgen dat de betreffende rekeninghouders akkoord gaan met en gebonden blijven aan de Algemene Voorwaarden van Vidanova e-Banking en ermee instemmen met de verstrekking van gegevens met betrekking tot hun rekeningen aan de Klant.</w:t>
      </w:r>
    </w:p>
    <w:p w14:paraId="0B0FBE02" w14:textId="77777777" w:rsidR="0043209B" w:rsidRPr="0043209B" w:rsidRDefault="0043209B" w:rsidP="0043209B">
      <w:pPr>
        <w:ind w:left="720"/>
        <w:rPr>
          <w:rFonts w:ascii="Times New Roman" w:hAnsi="Times New Roman"/>
          <w:sz w:val="24"/>
          <w:lang w:val="nl-NL"/>
        </w:rPr>
      </w:pPr>
    </w:p>
    <w:p w14:paraId="6BCCD401" w14:textId="1BFE6FB2" w:rsidR="00173507" w:rsidRPr="0043209B" w:rsidRDefault="00173507" w:rsidP="0043209B">
      <w:pPr>
        <w:ind w:left="720"/>
        <w:rPr>
          <w:rFonts w:ascii="Times New Roman" w:hAnsi="Times New Roman"/>
          <w:sz w:val="24"/>
          <w:lang w:val="nl-NL"/>
        </w:rPr>
      </w:pPr>
      <w:r w:rsidRPr="0043209B">
        <w:rPr>
          <w:rFonts w:ascii="Times New Roman" w:hAnsi="Times New Roman"/>
          <w:sz w:val="24"/>
          <w:lang w:val="nl-NL"/>
        </w:rPr>
        <w:t>Indien de Klant rekeningen aanwijst die gedebiteerd moeten worden met overboekingen die via de Dienst worden geïnitieerd en die de rekeningen zijn van een dochteronderneming of dochterondernemingen van de Klant of die niet op naam van de Klant staan, stemt de Klant ermee in ervoor zorg te dragen dat de betreffende rekeninghouders akkoord gaan met en gebonden blijven aan deze Algemene Voorwaarden en instemmen met de verstrekking van gegevens met betrekking tot hun rekeningen aan de Klant door het ondertekenen van een kopie van de standaardbrief van de Bank voor dergelijke doeleinden.</w:t>
      </w:r>
    </w:p>
    <w:p w14:paraId="6E27C248" w14:textId="77777777" w:rsidR="0043209B" w:rsidRPr="0043209B" w:rsidRDefault="0043209B" w:rsidP="0043209B">
      <w:pPr>
        <w:ind w:left="720"/>
        <w:rPr>
          <w:rFonts w:ascii="Times New Roman" w:hAnsi="Times New Roman"/>
          <w:sz w:val="24"/>
          <w:lang w:val="nl-NL"/>
        </w:rPr>
      </w:pPr>
    </w:p>
    <w:p w14:paraId="2BEE2758" w14:textId="75F90AFF" w:rsidR="00173507" w:rsidRPr="0043209B" w:rsidRDefault="00173507" w:rsidP="0043209B">
      <w:pPr>
        <w:ind w:left="720"/>
        <w:rPr>
          <w:rFonts w:ascii="Times New Roman" w:hAnsi="Times New Roman"/>
          <w:sz w:val="24"/>
          <w:lang w:val="nl-NL"/>
        </w:rPr>
      </w:pPr>
      <w:r w:rsidRPr="0043209B">
        <w:rPr>
          <w:rFonts w:ascii="Times New Roman" w:hAnsi="Times New Roman"/>
          <w:sz w:val="24"/>
          <w:lang w:val="nl-NL"/>
        </w:rPr>
        <w:lastRenderedPageBreak/>
        <w:t>In het geval dat de Dienst beschikbaar wordt gesteld aan een dergelijke rekeninghouder, zal de term ‘de Klant’, waar gebruikt in deze Algemene Voorwaarden, waar de context het toelaat, als inclusief deze andere rekeninghouder worden beschouwd.</w:t>
      </w:r>
    </w:p>
    <w:p w14:paraId="10D8C76A" w14:textId="77777777" w:rsidR="0043209B" w:rsidRPr="0043209B" w:rsidRDefault="0043209B" w:rsidP="0043209B">
      <w:pPr>
        <w:ind w:left="720"/>
        <w:rPr>
          <w:rFonts w:ascii="Times New Roman" w:hAnsi="Times New Roman"/>
          <w:sz w:val="24"/>
          <w:lang w:val="nl-NL"/>
        </w:rPr>
      </w:pPr>
    </w:p>
    <w:p w14:paraId="6A6833E8" w14:textId="77777777" w:rsidR="00173507" w:rsidRPr="0043209B" w:rsidRDefault="00173507" w:rsidP="0043209B">
      <w:pPr>
        <w:pStyle w:val="ListParagraph"/>
        <w:numPr>
          <w:ilvl w:val="0"/>
          <w:numId w:val="16"/>
        </w:numPr>
        <w:spacing w:after="0" w:line="240" w:lineRule="auto"/>
        <w:rPr>
          <w:rFonts w:ascii="Times New Roman" w:eastAsia="Times New Roman" w:hAnsi="Times New Roman"/>
          <w:sz w:val="24"/>
          <w:szCs w:val="24"/>
          <w:lang w:val="nl-NL"/>
        </w:rPr>
      </w:pPr>
      <w:r w:rsidRPr="0043209B">
        <w:rPr>
          <w:rFonts w:ascii="Times New Roman" w:eastAsia="Times New Roman" w:hAnsi="Times New Roman"/>
          <w:sz w:val="24"/>
          <w:szCs w:val="24"/>
          <w:lang w:val="nl-NL"/>
        </w:rPr>
        <w:t>De Klant verbindt zich ertoe de via de Dienst weergegeven saldi te controleren en, indien van toepassing, de Statusrapporten van via de Dienst uitgevoerde overboekingen en de mutaties op afschriften die via de Dienst door de Bank aan de Klant ter beschikking worden gesteld, regelmatig en zo spoedig mogelijk af te stemmen met de eigen financiële administratie van de Klant. De Klant zal de Bank binnen 24 uur op de hoogte stellen van enige afwijkingen.</w:t>
      </w:r>
    </w:p>
    <w:p w14:paraId="6F3CA773" w14:textId="77777777" w:rsidR="0043209B" w:rsidRPr="0043209B" w:rsidRDefault="0043209B" w:rsidP="0043209B">
      <w:pPr>
        <w:rPr>
          <w:rFonts w:ascii="Times New Roman" w:hAnsi="Times New Roman"/>
          <w:sz w:val="24"/>
          <w:lang w:val="nl-NL"/>
        </w:rPr>
      </w:pPr>
    </w:p>
    <w:p w14:paraId="3A9C3C6C" w14:textId="77777777" w:rsidR="00173507" w:rsidRPr="0043209B" w:rsidRDefault="00173507" w:rsidP="0043209B">
      <w:pPr>
        <w:numPr>
          <w:ilvl w:val="0"/>
          <w:numId w:val="17"/>
        </w:numPr>
        <w:rPr>
          <w:rFonts w:ascii="Times New Roman" w:hAnsi="Times New Roman"/>
          <w:sz w:val="24"/>
          <w:lang w:val="nl-NL"/>
        </w:rPr>
      </w:pPr>
      <w:r w:rsidRPr="0043209B">
        <w:rPr>
          <w:rFonts w:ascii="Times New Roman" w:hAnsi="Times New Roman"/>
          <w:sz w:val="24"/>
          <w:lang w:val="nl-NL"/>
        </w:rPr>
        <w:t>De Klant stemt ermee in dat, indien de Klant toegang verkrijgt tot programma's, gegevens of andere informatie die niet eigendom is van de Klant, de Klant dergelijke programma's, gegevens of andere informatie als vertrouwelijk zal behandelen, deze niet zal openbaar maken of op andere wijze gebruiken, en de Bank daarvan onmiddellijk op de hoogte zal stellen.</w:t>
      </w:r>
    </w:p>
    <w:p w14:paraId="16C6DFB7" w14:textId="77777777" w:rsidR="00173507" w:rsidRPr="0043209B" w:rsidRDefault="00173507" w:rsidP="0043209B">
      <w:pPr>
        <w:ind w:left="720"/>
        <w:rPr>
          <w:rFonts w:ascii="Times New Roman" w:hAnsi="Times New Roman"/>
          <w:sz w:val="24"/>
          <w:lang w:val="nl-NL"/>
        </w:rPr>
      </w:pPr>
    </w:p>
    <w:p w14:paraId="66813935" w14:textId="77777777" w:rsidR="00173507" w:rsidRPr="0043209B" w:rsidRDefault="00173507" w:rsidP="0043209B">
      <w:pPr>
        <w:pStyle w:val="ListParagraph"/>
        <w:numPr>
          <w:ilvl w:val="0"/>
          <w:numId w:val="17"/>
        </w:numPr>
        <w:spacing w:after="0" w:line="240" w:lineRule="auto"/>
        <w:rPr>
          <w:rFonts w:ascii="Times New Roman" w:eastAsia="Times New Roman" w:hAnsi="Times New Roman"/>
          <w:sz w:val="24"/>
          <w:szCs w:val="24"/>
          <w:lang w:val="nl-NL"/>
        </w:rPr>
      </w:pPr>
      <w:r w:rsidRPr="0043209B">
        <w:rPr>
          <w:rFonts w:ascii="Times New Roman" w:eastAsia="Times New Roman" w:hAnsi="Times New Roman"/>
          <w:sz w:val="24"/>
          <w:szCs w:val="24"/>
          <w:lang w:val="nl-NL"/>
        </w:rPr>
        <w:t xml:space="preserve">De Klant stemt ermee in om regelmatig en overeenkomstig de op dat moment geldende tarieven van de Bank, welke periodiek kunnen worden gewijzigd, de vergoedingen en kosten te betalen die verband houden met de levering van de Diensten, zoals bepaald in deze Algemene Voorwaarden. De Bank behoudt zich het recht voor om de rekening van de Klant te debiteren voor alle kosten in verband met E-Banking, zelfs </w:t>
      </w:r>
      <w:proofErr w:type="gramStart"/>
      <w:r w:rsidRPr="0043209B">
        <w:rPr>
          <w:rFonts w:ascii="Times New Roman" w:eastAsia="Times New Roman" w:hAnsi="Times New Roman"/>
          <w:sz w:val="24"/>
          <w:szCs w:val="24"/>
          <w:lang w:val="nl-NL"/>
        </w:rPr>
        <w:t>indien</w:t>
      </w:r>
      <w:proofErr w:type="gramEnd"/>
      <w:r w:rsidRPr="0043209B">
        <w:rPr>
          <w:rFonts w:ascii="Times New Roman" w:eastAsia="Times New Roman" w:hAnsi="Times New Roman"/>
          <w:sz w:val="24"/>
          <w:szCs w:val="24"/>
          <w:lang w:val="nl-NL"/>
        </w:rPr>
        <w:t xml:space="preserve"> dit leidt tot of resulteert in een debetstand op de rekening. De Klant erkent en stemt ermee in dat eventuele E-Banking vergoedingen afzonderlijk en aanvullend zijn op de servicekosten op rekeningniveau die van toepassing zijn op hun rekeningen. </w:t>
      </w:r>
    </w:p>
    <w:p w14:paraId="067C9C45" w14:textId="77777777" w:rsidR="00173507" w:rsidRPr="0043209B" w:rsidRDefault="00173507" w:rsidP="0043209B">
      <w:pPr>
        <w:pStyle w:val="ListParagraph"/>
        <w:spacing w:after="0" w:line="240" w:lineRule="auto"/>
        <w:rPr>
          <w:rFonts w:ascii="Times New Roman" w:eastAsia="Times New Roman" w:hAnsi="Times New Roman"/>
          <w:sz w:val="24"/>
          <w:szCs w:val="24"/>
          <w:lang w:val="nl-NL"/>
        </w:rPr>
      </w:pPr>
    </w:p>
    <w:p w14:paraId="7583B9C3" w14:textId="77777777" w:rsidR="00173507" w:rsidRPr="0043209B" w:rsidRDefault="00173507" w:rsidP="0043209B">
      <w:pPr>
        <w:pStyle w:val="ListParagraph"/>
        <w:spacing w:after="0" w:line="240" w:lineRule="auto"/>
        <w:rPr>
          <w:rFonts w:ascii="Times New Roman" w:eastAsia="Times New Roman" w:hAnsi="Times New Roman"/>
          <w:sz w:val="24"/>
          <w:szCs w:val="24"/>
          <w:lang w:val="nl-NL"/>
        </w:rPr>
      </w:pPr>
      <w:r w:rsidRPr="0043209B">
        <w:rPr>
          <w:rFonts w:ascii="Times New Roman" w:eastAsia="Times New Roman" w:hAnsi="Times New Roman"/>
          <w:sz w:val="24"/>
          <w:szCs w:val="24"/>
          <w:lang w:val="nl-NL"/>
        </w:rPr>
        <w:t>De Klant machtigt de Bank om zijn rekening te debiteren voor alle vergoedingen en kosten, welke machtiging van kracht blijft zolang de Klant gebruik wenst te maken van de Dienst.</w:t>
      </w:r>
    </w:p>
    <w:p w14:paraId="597A5E9B" w14:textId="77777777" w:rsidR="00173507" w:rsidRPr="0043209B" w:rsidRDefault="00173507" w:rsidP="0043209B">
      <w:pPr>
        <w:pStyle w:val="ListParagraph"/>
        <w:spacing w:after="0"/>
        <w:rPr>
          <w:rFonts w:ascii="Times New Roman" w:eastAsia="Times New Roman" w:hAnsi="Times New Roman"/>
          <w:sz w:val="24"/>
          <w:szCs w:val="24"/>
          <w:lang w:val="nl-NL"/>
        </w:rPr>
      </w:pPr>
    </w:p>
    <w:p w14:paraId="468C4862" w14:textId="77777777" w:rsidR="00173507" w:rsidRPr="0043209B" w:rsidRDefault="00173507" w:rsidP="0043209B">
      <w:pPr>
        <w:pStyle w:val="ListParagraph"/>
        <w:numPr>
          <w:ilvl w:val="0"/>
          <w:numId w:val="17"/>
        </w:numPr>
        <w:spacing w:after="0" w:line="240" w:lineRule="auto"/>
        <w:rPr>
          <w:rFonts w:ascii="Times New Roman" w:eastAsia="Times New Roman" w:hAnsi="Times New Roman"/>
          <w:sz w:val="24"/>
          <w:szCs w:val="24"/>
          <w:lang w:val="nl-NL"/>
        </w:rPr>
      </w:pPr>
      <w:r w:rsidRPr="0043209B">
        <w:rPr>
          <w:rFonts w:ascii="Times New Roman" w:eastAsia="Times New Roman" w:hAnsi="Times New Roman"/>
          <w:sz w:val="24"/>
          <w:szCs w:val="24"/>
          <w:lang w:val="nl-NL"/>
        </w:rPr>
        <w:t>De Klant kan van de Dienst gebruikmaken om betalingen te initiëren binnen de limieten die door de Bank van tijd tot tijd aan de Klant worden meegedeeld met betrekking tot de Dienst. De Klant aanvaardt de volledige verantwoordelijkheid voor de juistheid van de betaalinstructies en machtigt de Bank onherroepelijk om uitvoering te geven aan iedere betaalinstructie die via de Dienst wordt ontvangen, ervan uitgaande dat, tenzij de Bank daadwerkelijk anders is meegedeeld, een dergelijke instructie naar behoren is gemachtigd. Deze machtiging blijft van kracht, ook na beëindiging van de Dienst door de Bank of de Klant, voor alle instructies die door de Bank zijn ontvangen vóór het verstrijken van de opzegtermijn.</w:t>
      </w:r>
    </w:p>
    <w:p w14:paraId="0EC1BCE8" w14:textId="77777777" w:rsidR="00173507" w:rsidRPr="0043209B" w:rsidRDefault="00173507" w:rsidP="0043209B">
      <w:pPr>
        <w:pStyle w:val="ListParagraph"/>
        <w:spacing w:after="0" w:line="240" w:lineRule="auto"/>
        <w:rPr>
          <w:rFonts w:ascii="Times New Roman" w:eastAsia="Times New Roman" w:hAnsi="Times New Roman"/>
          <w:sz w:val="24"/>
          <w:szCs w:val="24"/>
          <w:lang w:val="nl-NL"/>
        </w:rPr>
      </w:pPr>
    </w:p>
    <w:p w14:paraId="3978D9F0" w14:textId="77777777" w:rsidR="00173507" w:rsidRPr="0043209B" w:rsidRDefault="00173507" w:rsidP="0043209B">
      <w:pPr>
        <w:pStyle w:val="ListParagraph"/>
        <w:numPr>
          <w:ilvl w:val="0"/>
          <w:numId w:val="17"/>
        </w:numPr>
        <w:spacing w:after="0" w:line="240" w:lineRule="auto"/>
        <w:rPr>
          <w:rFonts w:ascii="Times New Roman" w:eastAsia="Times New Roman" w:hAnsi="Times New Roman"/>
          <w:sz w:val="24"/>
          <w:szCs w:val="24"/>
          <w:lang w:val="nl-NL"/>
        </w:rPr>
      </w:pPr>
      <w:r w:rsidRPr="0043209B">
        <w:rPr>
          <w:rFonts w:ascii="Times New Roman" w:eastAsia="Times New Roman" w:hAnsi="Times New Roman"/>
          <w:sz w:val="24"/>
          <w:szCs w:val="24"/>
          <w:lang w:val="nl-NL"/>
        </w:rPr>
        <w:t>De Bank behoudt zich het recht voor om iedere instructie die zij onrechtmatig acht of in strijd met haar beleid, niet uit te voeren, zonder daardoor enige aansprakelijkheid te aanvaarden op grond van deze Algemene Voorwaarden of anderszins. De Bank zal de Klant van een dergelijke weigering in kennis stellen.</w:t>
      </w:r>
    </w:p>
    <w:p w14:paraId="6C4D94DE" w14:textId="77777777" w:rsidR="00173507" w:rsidRPr="0043209B" w:rsidRDefault="00173507" w:rsidP="0043209B">
      <w:pPr>
        <w:pStyle w:val="ListParagraph"/>
        <w:spacing w:after="0" w:line="240" w:lineRule="auto"/>
        <w:rPr>
          <w:rFonts w:ascii="Times New Roman" w:eastAsia="Times New Roman" w:hAnsi="Times New Roman"/>
          <w:sz w:val="24"/>
          <w:szCs w:val="24"/>
          <w:lang w:val="nl-NL"/>
        </w:rPr>
      </w:pPr>
    </w:p>
    <w:p w14:paraId="7754E9D4" w14:textId="6FA936F1" w:rsidR="00173507" w:rsidRPr="0043209B" w:rsidRDefault="00173507" w:rsidP="0043209B">
      <w:pPr>
        <w:pStyle w:val="ListParagraph"/>
        <w:spacing w:after="0"/>
        <w:rPr>
          <w:rFonts w:ascii="Times New Roman" w:eastAsia="Times New Roman" w:hAnsi="Times New Roman"/>
          <w:sz w:val="24"/>
          <w:szCs w:val="24"/>
          <w:lang w:val="nl-NL"/>
        </w:rPr>
      </w:pPr>
      <w:r w:rsidRPr="0043209B">
        <w:rPr>
          <w:rFonts w:ascii="Times New Roman" w:eastAsia="Times New Roman" w:hAnsi="Times New Roman"/>
          <w:sz w:val="24"/>
          <w:szCs w:val="24"/>
          <w:lang w:val="nl-NL"/>
        </w:rPr>
        <w:t xml:space="preserve">De Klant is aansprakelijk voor alle schulden en rekeningactiviteiten die voortvloeien uit het gebruik van de E-Handtekening, inclusief schulden en rekeningactiviteiten veroorzaakt door individuen aan wie de Klant toegang heeft gegeven tot de E-Handtekening. De Klant is eveneens aansprakelijk voor enige schulden of rekeningactiviteiten die voortvloeien uit het </w:t>
      </w:r>
      <w:r w:rsidRPr="0043209B">
        <w:rPr>
          <w:rFonts w:ascii="Times New Roman" w:eastAsia="Times New Roman" w:hAnsi="Times New Roman"/>
          <w:sz w:val="24"/>
          <w:szCs w:val="24"/>
          <w:lang w:val="nl-NL"/>
        </w:rPr>
        <w:lastRenderedPageBreak/>
        <w:t xml:space="preserve">ongeoorloofd gebruik van de E-Handtekening, inclusief schulden die uit dergelijk ongeoorloofd gebruik ontstaan, </w:t>
      </w:r>
      <w:proofErr w:type="gramStart"/>
      <w:r w:rsidRPr="0043209B">
        <w:rPr>
          <w:rFonts w:ascii="Times New Roman" w:eastAsia="Times New Roman" w:hAnsi="Times New Roman"/>
          <w:sz w:val="24"/>
          <w:szCs w:val="24"/>
          <w:lang w:val="nl-NL"/>
        </w:rPr>
        <w:t>indien</w:t>
      </w:r>
      <w:proofErr w:type="gramEnd"/>
      <w:r w:rsidRPr="0043209B">
        <w:rPr>
          <w:rFonts w:ascii="Times New Roman" w:eastAsia="Times New Roman" w:hAnsi="Times New Roman"/>
          <w:sz w:val="24"/>
          <w:szCs w:val="24"/>
          <w:lang w:val="nl-NL"/>
        </w:rPr>
        <w:t xml:space="preserve"> de Klant de E-Handtekening beschikbaar heeft gemaakt door de componenten ervan bijeen te houden of op een wijze die derden toegang verschaft. Deze aansprakelijkheid blijft van kracht totdat de Bank een schriftelijke melding heeft ontvangen van verlies, diefstal of ongeoorloofd gebruik van de E-Handtekening. De Klant is verantwoordelijk voor alle schulden en rekeningtransacties die voortvloeien uit het gebruik van de "Auto Complete"-functie in een webbrowser op elke computer of elektronisch apparaat die wordt gebruikt om toegang te krijgen tot E-Banking Diensten. De Bank is niet aansprakelijk voor enige andere verliezen die via E-Banking worden geleden waarvoor de Klant verantwoordelijk is, met inbegrip van verliezen als gevolg van het geoorloofd of ongeoorloofd gebruik van de E-Handtekening van de Klant.</w:t>
      </w:r>
    </w:p>
    <w:p w14:paraId="2D3F5185" w14:textId="77777777" w:rsidR="0043209B" w:rsidRPr="0043209B" w:rsidRDefault="0043209B" w:rsidP="0043209B">
      <w:pPr>
        <w:rPr>
          <w:rFonts w:ascii="Times New Roman" w:hAnsi="Times New Roman"/>
          <w:sz w:val="24"/>
          <w:lang w:val="nl-NL"/>
        </w:rPr>
      </w:pPr>
    </w:p>
    <w:p w14:paraId="0F9B5A7C" w14:textId="77777777" w:rsidR="00173507" w:rsidRPr="0043209B" w:rsidRDefault="00173507" w:rsidP="0043209B">
      <w:pPr>
        <w:spacing w:line="276" w:lineRule="auto"/>
        <w:ind w:left="720" w:hanging="360"/>
        <w:rPr>
          <w:rFonts w:ascii="Times New Roman" w:hAnsi="Times New Roman"/>
          <w:sz w:val="24"/>
          <w:lang w:val="nl-NL"/>
        </w:rPr>
      </w:pPr>
      <w:r w:rsidRPr="0043209B">
        <w:rPr>
          <w:rFonts w:ascii="Times New Roman" w:hAnsi="Times New Roman"/>
          <w:sz w:val="24"/>
          <w:lang w:val="nl-NL"/>
        </w:rPr>
        <w:t xml:space="preserve">19. In het geval dat: </w:t>
      </w:r>
    </w:p>
    <w:p w14:paraId="55EB133F" w14:textId="77777777" w:rsidR="00173507" w:rsidRPr="0043209B" w:rsidRDefault="00173507" w:rsidP="0043209B">
      <w:pPr>
        <w:pStyle w:val="NoSpacing"/>
        <w:numPr>
          <w:ilvl w:val="1"/>
          <w:numId w:val="18"/>
        </w:numPr>
        <w:spacing w:line="276" w:lineRule="auto"/>
        <w:rPr>
          <w:rFonts w:ascii="Times New Roman" w:hAnsi="Times New Roman" w:cs="Times New Roman"/>
          <w:lang w:val="nl-NL"/>
        </w:rPr>
      </w:pPr>
      <w:proofErr w:type="gramStart"/>
      <w:r w:rsidRPr="0043209B">
        <w:rPr>
          <w:rFonts w:ascii="Times New Roman" w:hAnsi="Times New Roman" w:cs="Times New Roman"/>
          <w:lang w:val="nl-NL"/>
        </w:rPr>
        <w:t>het</w:t>
      </w:r>
      <w:proofErr w:type="gramEnd"/>
      <w:r w:rsidRPr="0043209B">
        <w:rPr>
          <w:rFonts w:ascii="Times New Roman" w:hAnsi="Times New Roman" w:cs="Times New Roman"/>
          <w:lang w:val="nl-NL"/>
        </w:rPr>
        <w:t xml:space="preserve"> gekozen wachtwoord identiek is aan of sterk lijkt op gemakkelijk identificeerbare nummercombinaties, zoals maar niet beperkt tot de geboortedatum van de Klant, rekeningnummer(s) of telefoonnummer(s); </w:t>
      </w:r>
    </w:p>
    <w:p w14:paraId="364E4DAD" w14:textId="77777777" w:rsidR="00173507" w:rsidRPr="0043209B" w:rsidRDefault="00173507" w:rsidP="0043209B">
      <w:pPr>
        <w:pStyle w:val="NoSpacing"/>
        <w:numPr>
          <w:ilvl w:val="1"/>
          <w:numId w:val="18"/>
        </w:numPr>
        <w:spacing w:line="276" w:lineRule="auto"/>
        <w:rPr>
          <w:rFonts w:ascii="Times New Roman" w:hAnsi="Times New Roman" w:cs="Times New Roman"/>
          <w:lang w:val="nl-NL"/>
        </w:rPr>
      </w:pPr>
      <w:proofErr w:type="gramStart"/>
      <w:r w:rsidRPr="0043209B">
        <w:rPr>
          <w:rFonts w:ascii="Times New Roman" w:hAnsi="Times New Roman" w:cs="Times New Roman"/>
          <w:lang w:val="nl-NL"/>
        </w:rPr>
        <w:t>de</w:t>
      </w:r>
      <w:proofErr w:type="gramEnd"/>
      <w:r w:rsidRPr="0043209B">
        <w:rPr>
          <w:rFonts w:ascii="Times New Roman" w:hAnsi="Times New Roman" w:cs="Times New Roman"/>
          <w:lang w:val="nl-NL"/>
        </w:rPr>
        <w:t xml:space="preserve"> Klant noteert zijn wachtwoord of bewaart dit op een onveilige locatie, waardoor het gemakkelijk toegankelijk is voor derden, hetgeen ertoe kan leiden dat de gebruikersnaam van de Klant wordt blootgesteld aan derden;</w:t>
      </w:r>
    </w:p>
    <w:p w14:paraId="7506AE00" w14:textId="77777777" w:rsidR="00173507" w:rsidRPr="0043209B" w:rsidRDefault="00173507" w:rsidP="0043209B">
      <w:pPr>
        <w:pStyle w:val="NoSpacing"/>
        <w:numPr>
          <w:ilvl w:val="1"/>
          <w:numId w:val="18"/>
        </w:numPr>
        <w:spacing w:line="276" w:lineRule="auto"/>
        <w:rPr>
          <w:rFonts w:ascii="Times New Roman" w:hAnsi="Times New Roman" w:cs="Times New Roman"/>
          <w:lang w:val="nl-NL"/>
        </w:rPr>
      </w:pPr>
      <w:proofErr w:type="gramStart"/>
      <w:r w:rsidRPr="0043209B">
        <w:rPr>
          <w:rFonts w:ascii="Times New Roman" w:hAnsi="Times New Roman" w:cs="Times New Roman"/>
          <w:lang w:val="nl-NL"/>
        </w:rPr>
        <w:t>de</w:t>
      </w:r>
      <w:proofErr w:type="gramEnd"/>
      <w:r w:rsidRPr="0043209B">
        <w:rPr>
          <w:rFonts w:ascii="Times New Roman" w:hAnsi="Times New Roman" w:cs="Times New Roman"/>
          <w:lang w:val="nl-NL"/>
        </w:rPr>
        <w:t xml:space="preserve"> Klant (een deel van) zijn E-Handtekening openbaar maakt, wat leidt tot ongeoorloofd gebruik door derden; </w:t>
      </w:r>
    </w:p>
    <w:p w14:paraId="1C4E3322" w14:textId="77777777" w:rsidR="00173507" w:rsidRPr="0043209B" w:rsidRDefault="00173507" w:rsidP="0043209B">
      <w:pPr>
        <w:pStyle w:val="NoSpacing"/>
        <w:numPr>
          <w:ilvl w:val="1"/>
          <w:numId w:val="18"/>
        </w:numPr>
        <w:spacing w:line="276" w:lineRule="auto"/>
        <w:rPr>
          <w:rFonts w:ascii="Times New Roman" w:hAnsi="Times New Roman" w:cs="Times New Roman"/>
          <w:lang w:val="nl-NL"/>
        </w:rPr>
      </w:pPr>
      <w:proofErr w:type="gramStart"/>
      <w:r w:rsidRPr="0043209B">
        <w:rPr>
          <w:rFonts w:ascii="Times New Roman" w:hAnsi="Times New Roman" w:cs="Times New Roman"/>
          <w:lang w:val="nl-NL"/>
        </w:rPr>
        <w:t>de</w:t>
      </w:r>
      <w:proofErr w:type="gramEnd"/>
      <w:r w:rsidRPr="0043209B">
        <w:rPr>
          <w:rFonts w:ascii="Times New Roman" w:hAnsi="Times New Roman" w:cs="Times New Roman"/>
          <w:lang w:val="nl-NL"/>
        </w:rPr>
        <w:t xml:space="preserve"> Klant toegang krijgt tot E-Banking vanaf een apparaat met de 'Auto Complete'-functie ingeschakeld op het internetplatform, of een deel van de aanvullende authenticatiegegevens deelt, wat leidt tot ongeoorloofd gebruik van zijn E-Handtekening, </w:t>
      </w:r>
    </w:p>
    <w:p w14:paraId="519D71FF" w14:textId="77777777" w:rsidR="0043209B" w:rsidRPr="0043209B" w:rsidRDefault="0043209B" w:rsidP="0043209B">
      <w:pPr>
        <w:ind w:left="720"/>
        <w:rPr>
          <w:rFonts w:ascii="Times New Roman" w:hAnsi="Times New Roman"/>
          <w:sz w:val="24"/>
          <w:lang w:val="nl-NL"/>
        </w:rPr>
      </w:pPr>
    </w:p>
    <w:p w14:paraId="7F0C6003" w14:textId="6FE22474" w:rsidR="00173507" w:rsidRPr="0043209B" w:rsidRDefault="00173507" w:rsidP="0043209B">
      <w:pPr>
        <w:ind w:left="720"/>
        <w:rPr>
          <w:rFonts w:ascii="Times New Roman" w:hAnsi="Times New Roman"/>
          <w:sz w:val="24"/>
          <w:lang w:val="nl-NL"/>
        </w:rPr>
      </w:pPr>
      <w:proofErr w:type="gramStart"/>
      <w:r w:rsidRPr="0043209B">
        <w:rPr>
          <w:rFonts w:ascii="Times New Roman" w:hAnsi="Times New Roman"/>
          <w:sz w:val="24"/>
          <w:lang w:val="nl-NL"/>
        </w:rPr>
        <w:t>wordt</w:t>
      </w:r>
      <w:proofErr w:type="gramEnd"/>
      <w:r w:rsidRPr="0043209B">
        <w:rPr>
          <w:rFonts w:ascii="Times New Roman" w:hAnsi="Times New Roman"/>
          <w:sz w:val="24"/>
          <w:lang w:val="nl-NL"/>
        </w:rPr>
        <w:t xml:space="preserve"> de Klant geacht te hebben bijgedragen aan het ongeoorloofd gebruik van de E-Handtekening en zal daarvoor volledig aansprakelijk worden gesteld. Ongeacht enige andere bepalingen in deze overeenkomst blijft de in dit document opgenomen uitsluiting van aansprakelijkheid door de Bank onverminderd van kracht.</w:t>
      </w:r>
    </w:p>
    <w:p w14:paraId="328C522E" w14:textId="77777777" w:rsidR="0043209B" w:rsidRPr="0043209B" w:rsidRDefault="0043209B" w:rsidP="0043209B">
      <w:pPr>
        <w:ind w:left="720"/>
        <w:rPr>
          <w:rFonts w:ascii="Times New Roman" w:hAnsi="Times New Roman"/>
          <w:sz w:val="24"/>
          <w:lang w:val="nl-NL"/>
        </w:rPr>
      </w:pPr>
    </w:p>
    <w:p w14:paraId="565AD957" w14:textId="64CA4BC5" w:rsidR="0043209B" w:rsidRPr="0043209B" w:rsidRDefault="00173507" w:rsidP="0043209B">
      <w:pPr>
        <w:pStyle w:val="ListParagraph"/>
        <w:numPr>
          <w:ilvl w:val="0"/>
          <w:numId w:val="19"/>
        </w:numPr>
        <w:spacing w:after="0"/>
        <w:rPr>
          <w:rFonts w:ascii="Times New Roman" w:hAnsi="Times New Roman"/>
          <w:sz w:val="24"/>
          <w:szCs w:val="24"/>
          <w:lang w:val="nl-NL"/>
        </w:rPr>
      </w:pPr>
      <w:r w:rsidRPr="0043209B">
        <w:rPr>
          <w:rFonts w:ascii="Times New Roman" w:hAnsi="Times New Roman"/>
          <w:sz w:val="24"/>
          <w:szCs w:val="24"/>
          <w:lang w:val="nl-NL"/>
        </w:rPr>
        <w:t>De Klant kan het gebruik van de Dienst te allen tijde beëindigen, waarbij de beëindiging van kracht wordt na ontvangst van de kennisgeving door de Bank en in overeenstemming met de bepalingen van artikel 4. De Bank is te allen tijde en naar eigen goeddunken gerechtigd om alle of een deel van de via E-Banking aan de Klant aangeboden Diensten te wijzigen, uit te breiden, te beperken of te beëindigen, zonder voorafgaande kennisgeving in spoedeisende gevallen, en met redelijke kennisgeving in andere gevallen. De Bank is niet aansprakelijk voor enig verlies of ongemak dat voortvloeit uit deze handelingen en/of de beëindiging van de Diensten</w:t>
      </w:r>
      <w:r w:rsidR="0043209B" w:rsidRPr="0043209B">
        <w:rPr>
          <w:rFonts w:ascii="Times New Roman" w:hAnsi="Times New Roman"/>
          <w:sz w:val="24"/>
          <w:szCs w:val="24"/>
          <w:lang w:val="nl-NL"/>
        </w:rPr>
        <w:t>.</w:t>
      </w:r>
    </w:p>
    <w:p w14:paraId="3755905B" w14:textId="77777777" w:rsidR="0043209B" w:rsidRPr="0043209B" w:rsidRDefault="0043209B" w:rsidP="0043209B">
      <w:pPr>
        <w:ind w:left="360"/>
        <w:rPr>
          <w:rFonts w:ascii="Times New Roman" w:hAnsi="Times New Roman"/>
          <w:sz w:val="24"/>
          <w:lang w:val="nl-NL"/>
        </w:rPr>
      </w:pPr>
    </w:p>
    <w:p w14:paraId="703CE63B" w14:textId="77777777" w:rsidR="00173507" w:rsidRPr="0043209B" w:rsidRDefault="00173507" w:rsidP="0043209B">
      <w:pPr>
        <w:numPr>
          <w:ilvl w:val="0"/>
          <w:numId w:val="19"/>
        </w:numPr>
        <w:spacing w:line="278" w:lineRule="auto"/>
        <w:rPr>
          <w:rFonts w:ascii="Times New Roman" w:hAnsi="Times New Roman"/>
          <w:sz w:val="24"/>
          <w:lang w:val="nl-NL"/>
        </w:rPr>
      </w:pPr>
      <w:r w:rsidRPr="0043209B">
        <w:rPr>
          <w:rFonts w:ascii="Times New Roman" w:hAnsi="Times New Roman"/>
          <w:sz w:val="24"/>
          <w:lang w:val="nl-NL"/>
        </w:rPr>
        <w:t xml:space="preserve">In het geval van verlies, diefstal of ongeoorloofd gebruik van de gebruikersnaam, het wachtwoord of aanvullende authenticatiegegevens, is de Klant verplicht de Bank </w:t>
      </w:r>
      <w:r w:rsidRPr="0043209B">
        <w:rPr>
          <w:rFonts w:ascii="Times New Roman" w:hAnsi="Times New Roman"/>
          <w:sz w:val="24"/>
          <w:lang w:val="nl-NL"/>
        </w:rPr>
        <w:lastRenderedPageBreak/>
        <w:t>onmiddellijk schriftelijk op de hoogte te stellen. Na ontvangst van een dergelijke kennisgeving zal de Bank redelijke maatregelen nemen om eventuele schade voor de Klant te beperken. De verplichting van de Bank wordt beschouwd als een inspanningsverplichting, in plaats van een garantie van een specifiek resultaat, indien van toepassing. Ongeacht de ontvangst van een dergelijke kennisgeving, is de Bank niet aansprakelijk voor enig verlies of schade die voortvloeit uit dergelijke gebeurtenissen.</w:t>
      </w:r>
    </w:p>
    <w:p w14:paraId="4E0A55A0" w14:textId="77777777" w:rsidR="0043209B" w:rsidRPr="0043209B" w:rsidRDefault="0043209B" w:rsidP="0043209B">
      <w:pPr>
        <w:ind w:left="720"/>
        <w:rPr>
          <w:rFonts w:ascii="Times New Roman" w:hAnsi="Times New Roman"/>
          <w:sz w:val="24"/>
          <w:lang w:val="nl-NL"/>
        </w:rPr>
      </w:pPr>
    </w:p>
    <w:p w14:paraId="6B595D2B" w14:textId="5FF82758" w:rsidR="00173507" w:rsidRPr="0043209B" w:rsidRDefault="00173507" w:rsidP="0043209B">
      <w:pPr>
        <w:ind w:left="720"/>
        <w:rPr>
          <w:rFonts w:ascii="Times New Roman" w:hAnsi="Times New Roman"/>
          <w:sz w:val="24"/>
          <w:lang w:val="nl-NL"/>
        </w:rPr>
      </w:pPr>
      <w:r w:rsidRPr="0043209B">
        <w:rPr>
          <w:rFonts w:ascii="Times New Roman" w:hAnsi="Times New Roman"/>
          <w:sz w:val="24"/>
          <w:lang w:val="nl-NL"/>
        </w:rPr>
        <w:t>De Klant is verantwoordelijk voor het waarborgen van de vertrouwelijkheid en de beveiliging van de gebruikersnaam, het wachtwoord en de aanvullende authenticatiegegevens, en ervoor te zorgen dat deze gescheiden en ontoegankelijk voor derden worden bewaard. De Klant erkent zijn verantwoordelijkheid om deze gegevens te beschermen en stemt ermee in de 'auto-complete' functie uit te schakelen op elke internetbrowser die wordt gebruikt op computers of apparaten die zijn geregistreerd voor E-Banking Diensten.</w:t>
      </w:r>
    </w:p>
    <w:p w14:paraId="42BF0283" w14:textId="77777777" w:rsidR="0043209B" w:rsidRPr="0043209B" w:rsidRDefault="0043209B" w:rsidP="0043209B">
      <w:pPr>
        <w:ind w:left="720"/>
        <w:rPr>
          <w:rFonts w:ascii="Times New Roman" w:hAnsi="Times New Roman"/>
          <w:sz w:val="24"/>
          <w:lang w:val="nl-NL"/>
        </w:rPr>
      </w:pPr>
    </w:p>
    <w:p w14:paraId="5E581EA6" w14:textId="7D83C239" w:rsidR="00173507" w:rsidRPr="0043209B" w:rsidRDefault="00173507" w:rsidP="0043209B">
      <w:pPr>
        <w:ind w:left="720"/>
        <w:rPr>
          <w:rFonts w:ascii="Times New Roman" w:hAnsi="Times New Roman"/>
          <w:sz w:val="24"/>
          <w:lang w:val="nl-NL"/>
        </w:rPr>
      </w:pPr>
      <w:r w:rsidRPr="0043209B">
        <w:rPr>
          <w:rFonts w:ascii="Times New Roman" w:hAnsi="Times New Roman"/>
          <w:sz w:val="24"/>
          <w:lang w:val="nl-NL"/>
        </w:rPr>
        <w:t>De Klant is verplicht redelijke voorzorgsmaatregelen te nemen om ervoor te zorgen dat de apparaten die worden gebruikt niet zijn 'gejailbreakt' of 'geroot' en beschermd zijn tegen virussen of andere schadelijke software, gezamenlijk aangeduid als 'virussen', die schade kunnen veroorzaken aan programma’s, bestanden of apparaten, of die de onderschepping van gevoelige informatie, zoals de E-Handtekening, door ongeautoriseerde derden mogelijk maken. De Bank is niet aansprakelijk voor indirecte of gevolgschade die voortvloeit uit dergelijke virussen.</w:t>
      </w:r>
    </w:p>
    <w:p w14:paraId="2B185817" w14:textId="77777777" w:rsidR="0043209B" w:rsidRPr="0043209B" w:rsidRDefault="0043209B" w:rsidP="0043209B">
      <w:pPr>
        <w:rPr>
          <w:rFonts w:ascii="Times New Roman" w:hAnsi="Times New Roman"/>
          <w:sz w:val="24"/>
          <w:lang w:val="nl-NL"/>
        </w:rPr>
      </w:pPr>
    </w:p>
    <w:p w14:paraId="759CB306" w14:textId="5C85BF8D" w:rsidR="00173507" w:rsidRPr="0043209B" w:rsidRDefault="00173507" w:rsidP="0043209B">
      <w:pPr>
        <w:pStyle w:val="ListParagraph"/>
        <w:numPr>
          <w:ilvl w:val="0"/>
          <w:numId w:val="19"/>
        </w:numPr>
        <w:spacing w:after="0"/>
        <w:rPr>
          <w:rFonts w:ascii="Times New Roman" w:hAnsi="Times New Roman"/>
          <w:sz w:val="24"/>
          <w:szCs w:val="24"/>
          <w:lang w:val="nl-NL"/>
        </w:rPr>
      </w:pPr>
      <w:r w:rsidRPr="0043209B">
        <w:rPr>
          <w:rFonts w:ascii="Times New Roman" w:hAnsi="Times New Roman"/>
          <w:sz w:val="24"/>
          <w:szCs w:val="24"/>
          <w:lang w:val="nl-NL"/>
        </w:rPr>
        <w:t>Door toegang te krijgen tot het E-Bankingplatform van de Bank via het internet of enig geregistreerd apparaat, en gebruik te maken van de juiste E-Handtekening om in te loggen, erkent de Klant uitdrukkelijk en stemt onvoorwaardelijk in met de voorwaarden die hierin zijn uiteengezet, evenals de Algemene Voorwaarden van de Bank, inclusief eventuele wijzigingen die van tijd tot tijd door de Bank worden aangebracht. De Bank kan de voorwaarden van deze Overeenkomst van tijd tot tijd wijzigen door ze geheel of gedeeltelijk toe te voegen, te verwijderen of op andere wijze te bewerken, of door speciale of andere systeemvereisten / voorwaarden toe te voegen. Kennisgeving van aanvullende of gewijzigde voorwaarden wordt aan de Klant verstrekt, hetzij schriftelijk, gericht aan de Klant op het laatst bekende adres in de administratie van de Bank, via e-mail, de website van de Bank en/of via de Vidanova E-Banking applicatie.</w:t>
      </w:r>
    </w:p>
    <w:p w14:paraId="0D00DDC3" w14:textId="77777777" w:rsidR="0043209B" w:rsidRPr="0043209B" w:rsidRDefault="0043209B" w:rsidP="0043209B">
      <w:pPr>
        <w:rPr>
          <w:rFonts w:ascii="Times New Roman" w:hAnsi="Times New Roman"/>
          <w:sz w:val="24"/>
          <w:lang w:val="nl-NL"/>
        </w:rPr>
      </w:pPr>
    </w:p>
    <w:p w14:paraId="178CDC87" w14:textId="4C458666" w:rsidR="00173507" w:rsidRPr="0043209B" w:rsidRDefault="00173507" w:rsidP="0043209B">
      <w:pPr>
        <w:pStyle w:val="ListParagraph"/>
        <w:numPr>
          <w:ilvl w:val="0"/>
          <w:numId w:val="19"/>
        </w:numPr>
        <w:spacing w:after="0"/>
        <w:rPr>
          <w:rFonts w:ascii="Times New Roman" w:hAnsi="Times New Roman"/>
          <w:sz w:val="24"/>
          <w:szCs w:val="24"/>
          <w:lang w:val="nl-NL"/>
        </w:rPr>
      </w:pPr>
      <w:proofErr w:type="gramStart"/>
      <w:r w:rsidRPr="0043209B">
        <w:rPr>
          <w:rFonts w:ascii="Times New Roman" w:hAnsi="Times New Roman"/>
          <w:sz w:val="24"/>
          <w:szCs w:val="24"/>
          <w:lang w:val="nl-NL"/>
        </w:rPr>
        <w:t>Indien</w:t>
      </w:r>
      <w:proofErr w:type="gramEnd"/>
      <w:r w:rsidRPr="0043209B">
        <w:rPr>
          <w:rFonts w:ascii="Times New Roman" w:hAnsi="Times New Roman"/>
          <w:sz w:val="24"/>
          <w:szCs w:val="24"/>
          <w:lang w:val="nl-NL"/>
        </w:rPr>
        <w:t xml:space="preserve"> enige bepaling van deze overeenkomst om welke reden dan ook ongeldig, onwettig of niet-afdwingbaar wordt geacht, blijven de overige bepalingen geldig en afdwingbaar.</w:t>
      </w:r>
    </w:p>
    <w:p w14:paraId="4F56B408" w14:textId="77777777" w:rsidR="0043209B" w:rsidRPr="0043209B" w:rsidRDefault="0043209B" w:rsidP="0043209B">
      <w:pPr>
        <w:rPr>
          <w:rFonts w:ascii="Times New Roman" w:hAnsi="Times New Roman"/>
          <w:sz w:val="24"/>
          <w:lang w:val="nl-NL"/>
        </w:rPr>
      </w:pPr>
    </w:p>
    <w:p w14:paraId="11F4D786" w14:textId="1E64884B" w:rsidR="00173507" w:rsidRPr="0043209B" w:rsidRDefault="00173507" w:rsidP="0043209B">
      <w:pPr>
        <w:pStyle w:val="ListParagraph"/>
        <w:numPr>
          <w:ilvl w:val="0"/>
          <w:numId w:val="19"/>
        </w:numPr>
        <w:spacing w:after="0"/>
        <w:rPr>
          <w:rFonts w:ascii="Times New Roman" w:hAnsi="Times New Roman"/>
          <w:sz w:val="24"/>
          <w:szCs w:val="24"/>
          <w:lang w:val="nl-NL"/>
        </w:rPr>
      </w:pPr>
      <w:r w:rsidRPr="0043209B">
        <w:rPr>
          <w:rFonts w:ascii="Times New Roman" w:hAnsi="Times New Roman"/>
          <w:sz w:val="24"/>
          <w:szCs w:val="24"/>
          <w:lang w:val="nl-NL"/>
        </w:rPr>
        <w:t>De partijen bij deze Algemene Voorwaarden komen overeen dat deze Algemene Voorwaarden, evenals alle gerelateerde documenten, in het Engels zullen worden opgesteld. De Bank heeft een Nederlandse vertaling verstrekt. In het geval van enige discrepanties tussen de Engelse en de Nederlandse versie van deze Algemene Voorwaarden, prevaleert de Engelse versie</w:t>
      </w:r>
      <w:r w:rsidR="0043209B" w:rsidRPr="0043209B">
        <w:rPr>
          <w:rFonts w:ascii="Times New Roman" w:hAnsi="Times New Roman"/>
          <w:sz w:val="24"/>
          <w:szCs w:val="24"/>
          <w:lang w:val="nl-NL"/>
        </w:rPr>
        <w:t>.</w:t>
      </w:r>
    </w:p>
    <w:p w14:paraId="0016F6BA" w14:textId="77777777" w:rsidR="0043209B" w:rsidRPr="0043209B" w:rsidRDefault="0043209B" w:rsidP="0043209B">
      <w:pPr>
        <w:pStyle w:val="ListParagraph"/>
        <w:spacing w:after="0"/>
        <w:rPr>
          <w:rFonts w:ascii="Times New Roman" w:hAnsi="Times New Roman"/>
          <w:sz w:val="24"/>
          <w:szCs w:val="24"/>
          <w:lang w:val="nl-NL"/>
        </w:rPr>
      </w:pPr>
    </w:p>
    <w:p w14:paraId="5F489F5F" w14:textId="77777777" w:rsidR="0043209B" w:rsidRPr="0043209B" w:rsidRDefault="0043209B" w:rsidP="0043209B">
      <w:pPr>
        <w:rPr>
          <w:rFonts w:ascii="Times New Roman" w:hAnsi="Times New Roman"/>
          <w:sz w:val="24"/>
          <w:lang w:val="nl-NL"/>
        </w:rPr>
      </w:pPr>
    </w:p>
    <w:p w14:paraId="78FCF728" w14:textId="014D753C" w:rsidR="00173507" w:rsidRPr="0043209B" w:rsidRDefault="00173507" w:rsidP="0043209B">
      <w:pPr>
        <w:pStyle w:val="ListParagraph"/>
        <w:numPr>
          <w:ilvl w:val="0"/>
          <w:numId w:val="19"/>
        </w:numPr>
        <w:spacing w:after="0"/>
        <w:rPr>
          <w:rFonts w:ascii="Times New Roman" w:hAnsi="Times New Roman"/>
          <w:sz w:val="24"/>
          <w:szCs w:val="24"/>
          <w:lang w:val="nl-NL"/>
        </w:rPr>
      </w:pPr>
      <w:r w:rsidRPr="0043209B">
        <w:rPr>
          <w:rFonts w:ascii="Times New Roman" w:hAnsi="Times New Roman"/>
          <w:sz w:val="24"/>
          <w:szCs w:val="24"/>
          <w:lang w:val="nl-NL"/>
        </w:rPr>
        <w:lastRenderedPageBreak/>
        <w:t>De Algemene Voorwaarden van Vidanova Bank N.V., waarvan de Klant een kopie heeft ontvangen en welke voorwaarden hij heeft geaccepteerd, zijn ook van toepassing op alle Diensten die via de Vidanova E-Banking applicatie worden uitgevoerd. In het geval van enige inconsistentie tussen deze Algemene Voorwaarden voor Vidanova E-Banking en de Algemene Voorwaarden van Vidanova Bank N.V., prevaleren de Algemene Voorwaarden voor Vidanova E-Banking.</w:t>
      </w:r>
    </w:p>
    <w:p w14:paraId="560462C1" w14:textId="77777777" w:rsidR="0043209B" w:rsidRPr="0043209B" w:rsidRDefault="0043209B" w:rsidP="0043209B">
      <w:pPr>
        <w:rPr>
          <w:rFonts w:ascii="Times New Roman" w:hAnsi="Times New Roman"/>
          <w:sz w:val="24"/>
          <w:lang w:val="nl-NL"/>
        </w:rPr>
      </w:pPr>
    </w:p>
    <w:p w14:paraId="4D32BD57" w14:textId="4DE235A4" w:rsidR="00F162DD" w:rsidRPr="00AB0A47" w:rsidRDefault="00173507" w:rsidP="00AB0A47">
      <w:pPr>
        <w:pStyle w:val="ListParagraph"/>
        <w:numPr>
          <w:ilvl w:val="0"/>
          <w:numId w:val="19"/>
        </w:numPr>
        <w:rPr>
          <w:rFonts w:ascii="Times New Roman" w:hAnsi="Times New Roman"/>
          <w:sz w:val="24"/>
          <w:lang w:val="nl-NL"/>
        </w:rPr>
      </w:pPr>
      <w:r w:rsidRPr="00AB0A47">
        <w:rPr>
          <w:rFonts w:ascii="Times New Roman" w:hAnsi="Times New Roman"/>
          <w:sz w:val="24"/>
          <w:lang w:val="nl-NL"/>
        </w:rPr>
        <w:t>Op deze Algemene Voorwaarden is het recht van Curaçao van toepassing, en zij zullen worden geïnterpreteerd in overeenstemming met dat recht. De Bank en de Klant onderwerpen zich hierbij aan de jurisdictie van de gerechten van Curaçao.</w:t>
      </w:r>
    </w:p>
    <w:p w14:paraId="618E3813" w14:textId="77777777" w:rsidR="00AB0A47" w:rsidRPr="00AB0A47" w:rsidRDefault="00AB0A47" w:rsidP="00AB0A47">
      <w:pPr>
        <w:pStyle w:val="ListParagraph"/>
        <w:rPr>
          <w:rFonts w:ascii="Times New Roman" w:hAnsi="Times New Roman"/>
          <w:sz w:val="24"/>
          <w:lang w:val="nl-NL"/>
        </w:rPr>
      </w:pPr>
    </w:p>
    <w:p w14:paraId="3BE4A6DD" w14:textId="7819A46E" w:rsidR="00AB0A47" w:rsidRPr="00AB0A47" w:rsidRDefault="00AB0A47" w:rsidP="00AB0A47">
      <w:pPr>
        <w:jc w:val="right"/>
        <w:rPr>
          <w:rFonts w:ascii="Times New Roman" w:hAnsi="Times New Roman"/>
          <w:sz w:val="24"/>
          <w:lang w:val="nl-NL"/>
        </w:rPr>
      </w:pPr>
      <w:r>
        <w:rPr>
          <w:rFonts w:ascii="Times New Roman" w:hAnsi="Times New Roman"/>
          <w:sz w:val="24"/>
          <w:lang w:val="nl-NL"/>
        </w:rPr>
        <w:t>Depot # CUR202501239</w:t>
      </w:r>
      <w:r w:rsidR="000A20A9">
        <w:rPr>
          <w:rFonts w:ascii="Times New Roman" w:hAnsi="Times New Roman"/>
          <w:sz w:val="24"/>
          <w:lang w:val="nl-NL"/>
        </w:rPr>
        <w:t>-735</w:t>
      </w:r>
    </w:p>
    <w:sectPr w:rsidR="00AB0A47" w:rsidRPr="00AB0A47" w:rsidSect="001A360F">
      <w:headerReference w:type="default" r:id="rId7"/>
      <w:footerReference w:type="even" r:id="rId8"/>
      <w:footerReference w:type="default" r:id="rId9"/>
      <w:pgSz w:w="11909" w:h="16834" w:code="9"/>
      <w:pgMar w:top="2880" w:right="1080" w:bottom="720" w:left="108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32C31" w14:textId="77777777" w:rsidR="0056689C" w:rsidRDefault="0056689C">
      <w:r>
        <w:separator/>
      </w:r>
    </w:p>
  </w:endnote>
  <w:endnote w:type="continuationSeparator" w:id="0">
    <w:p w14:paraId="2D651977" w14:textId="77777777" w:rsidR="0056689C" w:rsidRDefault="00566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724F" w14:textId="77777777" w:rsidR="003C28CC" w:rsidRDefault="005225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8F1260" w14:textId="77777777" w:rsidR="003C28CC" w:rsidRDefault="003C28CC">
    <w:pPr>
      <w:pStyle w:val="Footer"/>
      <w:ind w:right="360"/>
    </w:pPr>
  </w:p>
  <w:p w14:paraId="15C09FE7" w14:textId="77777777" w:rsidR="003C28CC" w:rsidRDefault="003C28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46A31" w14:textId="2C08EEC2" w:rsidR="003C28CC" w:rsidRPr="006725C6" w:rsidRDefault="00522520">
    <w:pPr>
      <w:tabs>
        <w:tab w:val="left" w:pos="0"/>
        <w:tab w:val="center" w:pos="5040"/>
        <w:tab w:val="right" w:pos="10080"/>
      </w:tabs>
      <w:rPr>
        <w:rFonts w:ascii="Times New Roman" w:hAnsi="Times New Roman"/>
        <w:sz w:val="16"/>
        <w:szCs w:val="16"/>
      </w:rPr>
    </w:pPr>
    <w:r w:rsidRPr="002144BF">
      <w:rPr>
        <w:rFonts w:ascii="Times New Roman" w:hAnsi="Times New Roman"/>
        <w:sz w:val="16"/>
        <w:szCs w:val="16"/>
        <w:lang w:val="es-419"/>
      </w:rPr>
      <w:t>EB005</w:t>
    </w:r>
    <w:r w:rsidR="002144BF" w:rsidRPr="002144BF">
      <w:rPr>
        <w:rFonts w:ascii="Times New Roman" w:hAnsi="Times New Roman"/>
        <w:sz w:val="16"/>
        <w:szCs w:val="16"/>
        <w:lang w:val="es-419"/>
      </w:rPr>
      <w:t>.1</w:t>
    </w:r>
    <w:r w:rsidRPr="002144BF">
      <w:rPr>
        <w:rFonts w:ascii="Times New Roman" w:hAnsi="Times New Roman"/>
        <w:sz w:val="16"/>
        <w:szCs w:val="16"/>
        <w:lang w:val="es-419"/>
      </w:rPr>
      <w:t>.0</w:t>
    </w:r>
    <w:r w:rsidR="002144BF" w:rsidRPr="002144BF">
      <w:rPr>
        <w:rFonts w:ascii="Times New Roman" w:hAnsi="Times New Roman"/>
        <w:sz w:val="16"/>
        <w:szCs w:val="16"/>
        <w:lang w:val="es-419"/>
      </w:rPr>
      <w:t>0</w:t>
    </w:r>
    <w:r w:rsidRPr="002144BF">
      <w:rPr>
        <w:rFonts w:ascii="Times New Roman" w:hAnsi="Times New Roman"/>
        <w:sz w:val="16"/>
        <w:szCs w:val="16"/>
        <w:lang w:val="es-419"/>
      </w:rPr>
      <w:t>.0</w:t>
    </w:r>
    <w:r w:rsidR="000C33B8" w:rsidRPr="002144BF">
      <w:rPr>
        <w:rFonts w:ascii="Times New Roman" w:hAnsi="Times New Roman"/>
        <w:sz w:val="16"/>
        <w:szCs w:val="16"/>
        <w:lang w:val="es-419"/>
      </w:rPr>
      <w:t>4</w:t>
    </w:r>
    <w:r w:rsidRPr="002144BF">
      <w:rPr>
        <w:rFonts w:ascii="Times New Roman" w:hAnsi="Times New Roman"/>
        <w:sz w:val="16"/>
        <w:szCs w:val="16"/>
        <w:lang w:val="es-419"/>
      </w:rPr>
      <w:t>/</w:t>
    </w:r>
    <w:r w:rsidR="001A360F" w:rsidRPr="002144BF">
      <w:rPr>
        <w:rFonts w:ascii="Times New Roman" w:hAnsi="Times New Roman"/>
        <w:sz w:val="16"/>
        <w:szCs w:val="16"/>
        <w:lang w:val="es-419"/>
      </w:rPr>
      <w:t>2</w:t>
    </w:r>
    <w:r w:rsidR="000C33B8" w:rsidRPr="002144BF">
      <w:rPr>
        <w:rFonts w:ascii="Times New Roman" w:hAnsi="Times New Roman"/>
        <w:sz w:val="16"/>
        <w:szCs w:val="16"/>
        <w:lang w:val="es-419"/>
      </w:rPr>
      <w:t>5</w:t>
    </w:r>
    <w:r w:rsidRPr="002144BF">
      <w:rPr>
        <w:rFonts w:ascii="Times New Roman" w:hAnsi="Times New Roman"/>
        <w:sz w:val="16"/>
        <w:szCs w:val="16"/>
        <w:lang w:val="es-419"/>
      </w:rPr>
      <w:tab/>
      <w:t xml:space="preserve">Vidanova </w:t>
    </w:r>
    <w:r w:rsidR="000B00B6" w:rsidRPr="002144BF">
      <w:rPr>
        <w:rFonts w:ascii="Times New Roman" w:hAnsi="Times New Roman"/>
        <w:sz w:val="16"/>
        <w:szCs w:val="16"/>
        <w:lang w:val="es-419"/>
      </w:rPr>
      <w:t>Bank</w:t>
    </w:r>
    <w:r w:rsidRPr="002144BF">
      <w:rPr>
        <w:rFonts w:ascii="Times New Roman" w:hAnsi="Times New Roman"/>
        <w:sz w:val="16"/>
        <w:szCs w:val="16"/>
        <w:lang w:val="es-419"/>
      </w:rPr>
      <w:t xml:space="preserve"> N.V.</w:t>
    </w:r>
    <w:r w:rsidRPr="002144BF">
      <w:rPr>
        <w:rFonts w:ascii="Times New Roman" w:hAnsi="Times New Roman"/>
        <w:sz w:val="16"/>
        <w:szCs w:val="16"/>
        <w:lang w:val="es-419"/>
      </w:rPr>
      <w:tab/>
    </w:r>
    <w:sdt>
      <w:sdtPr>
        <w:rPr>
          <w:rFonts w:ascii="Times New Roman" w:hAnsi="Times New Roman"/>
          <w:sz w:val="16"/>
          <w:szCs w:val="16"/>
        </w:rPr>
        <w:id w:val="3900065"/>
        <w:docPartObj>
          <w:docPartGallery w:val="Page Numbers (Top of Page)"/>
          <w:docPartUnique/>
        </w:docPartObj>
      </w:sdtPr>
      <w:sdtEndPr/>
      <w:sdtContent>
        <w:r w:rsidRPr="00DD0B41">
          <w:rPr>
            <w:rFonts w:ascii="Times New Roman" w:hAnsi="Times New Roman"/>
            <w:sz w:val="16"/>
            <w:szCs w:val="16"/>
          </w:rPr>
          <w:t xml:space="preserve">Page </w:t>
        </w:r>
        <w:r w:rsidRPr="006725C6">
          <w:rPr>
            <w:rFonts w:ascii="Times New Roman" w:hAnsi="Times New Roman"/>
            <w:sz w:val="16"/>
            <w:szCs w:val="16"/>
          </w:rPr>
          <w:fldChar w:fldCharType="begin"/>
        </w:r>
        <w:r w:rsidRPr="006725C6">
          <w:rPr>
            <w:rFonts w:ascii="Times New Roman" w:hAnsi="Times New Roman"/>
            <w:sz w:val="16"/>
            <w:szCs w:val="16"/>
          </w:rPr>
          <w:instrText xml:space="preserve"> PAGE </w:instrText>
        </w:r>
        <w:r w:rsidRPr="006725C6">
          <w:rPr>
            <w:rFonts w:ascii="Times New Roman" w:hAnsi="Times New Roman"/>
            <w:sz w:val="16"/>
            <w:szCs w:val="16"/>
          </w:rPr>
          <w:fldChar w:fldCharType="separate"/>
        </w:r>
        <w:r>
          <w:rPr>
            <w:rFonts w:ascii="Times New Roman" w:hAnsi="Times New Roman"/>
            <w:noProof/>
            <w:sz w:val="16"/>
            <w:szCs w:val="16"/>
          </w:rPr>
          <w:t>2</w:t>
        </w:r>
        <w:r w:rsidRPr="006725C6">
          <w:rPr>
            <w:rFonts w:ascii="Times New Roman" w:hAnsi="Times New Roman"/>
            <w:sz w:val="16"/>
            <w:szCs w:val="16"/>
          </w:rPr>
          <w:fldChar w:fldCharType="end"/>
        </w:r>
        <w:r w:rsidRPr="006725C6">
          <w:rPr>
            <w:rFonts w:ascii="Times New Roman" w:hAnsi="Times New Roman"/>
            <w:sz w:val="16"/>
            <w:szCs w:val="16"/>
          </w:rPr>
          <w:t xml:space="preserve"> of </w:t>
        </w:r>
        <w:r w:rsidRPr="006725C6">
          <w:rPr>
            <w:rFonts w:ascii="Times New Roman" w:hAnsi="Times New Roman"/>
            <w:sz w:val="16"/>
            <w:szCs w:val="16"/>
          </w:rPr>
          <w:fldChar w:fldCharType="begin"/>
        </w:r>
        <w:r w:rsidRPr="006725C6">
          <w:rPr>
            <w:rFonts w:ascii="Times New Roman" w:hAnsi="Times New Roman"/>
            <w:sz w:val="16"/>
            <w:szCs w:val="16"/>
          </w:rPr>
          <w:instrText xml:space="preserve"> NUMPAGES  </w:instrText>
        </w:r>
        <w:r w:rsidRPr="006725C6">
          <w:rPr>
            <w:rFonts w:ascii="Times New Roman" w:hAnsi="Times New Roman"/>
            <w:sz w:val="16"/>
            <w:szCs w:val="16"/>
          </w:rPr>
          <w:fldChar w:fldCharType="separate"/>
        </w:r>
        <w:r>
          <w:rPr>
            <w:rFonts w:ascii="Times New Roman" w:hAnsi="Times New Roman"/>
            <w:noProof/>
            <w:sz w:val="16"/>
            <w:szCs w:val="16"/>
          </w:rPr>
          <w:t>4</w:t>
        </w:r>
        <w:r w:rsidRPr="006725C6">
          <w:rPr>
            <w:rFonts w:ascii="Times New Roman" w:hAnsi="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DC262" w14:textId="77777777" w:rsidR="0056689C" w:rsidRDefault="0056689C">
      <w:r>
        <w:separator/>
      </w:r>
    </w:p>
  </w:footnote>
  <w:footnote w:type="continuationSeparator" w:id="0">
    <w:p w14:paraId="550C11F6" w14:textId="77777777" w:rsidR="0056689C" w:rsidRDefault="00566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839F" w14:textId="67CE6817" w:rsidR="001A360F" w:rsidRDefault="001A360F" w:rsidP="001A360F">
    <w:pPr>
      <w:pStyle w:val="Header"/>
      <w:jc w:val="center"/>
    </w:pPr>
    <w:r>
      <w:rPr>
        <w:noProof/>
      </w:rPr>
      <w:drawing>
        <wp:inline distT="0" distB="0" distL="0" distR="0" wp14:anchorId="747C2DD1" wp14:editId="77A8C15E">
          <wp:extent cx="2548128" cy="1146048"/>
          <wp:effectExtent l="0" t="0" r="5080" b="0"/>
          <wp:docPr id="10619398" name="Picture 1061939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48128" cy="11460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9AC"/>
    <w:multiLevelType w:val="hybridMultilevel"/>
    <w:tmpl w:val="1D34BF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8192E"/>
    <w:multiLevelType w:val="hybridMultilevel"/>
    <w:tmpl w:val="726896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332530"/>
    <w:multiLevelType w:val="multilevel"/>
    <w:tmpl w:val="12D49C3C"/>
    <w:lvl w:ilvl="0">
      <w:start w:val="13"/>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213518"/>
    <w:multiLevelType w:val="hybridMultilevel"/>
    <w:tmpl w:val="396E895A"/>
    <w:lvl w:ilvl="0" w:tplc="57142C0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0830B2"/>
    <w:multiLevelType w:val="hybridMultilevel"/>
    <w:tmpl w:val="3F2E1EDC"/>
    <w:lvl w:ilvl="0" w:tplc="57142C0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DF091E"/>
    <w:multiLevelType w:val="hybridMultilevel"/>
    <w:tmpl w:val="2C32E226"/>
    <w:lvl w:ilvl="0" w:tplc="57142C0C">
      <w:numFmt w:val="bullet"/>
      <w:lvlText w:val="-"/>
      <w:lvlJc w:val="left"/>
      <w:pPr>
        <w:ind w:left="1800" w:hanging="360"/>
      </w:pPr>
      <w:rPr>
        <w:rFonts w:ascii="Times New Roman" w:eastAsia="Times New Roman" w:hAnsi="Times New Roman" w:cs="Times New Roman"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234125C6"/>
    <w:multiLevelType w:val="multilevel"/>
    <w:tmpl w:val="9E2C942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EA4B2B"/>
    <w:multiLevelType w:val="multilevel"/>
    <w:tmpl w:val="28209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67630E"/>
    <w:multiLevelType w:val="hybridMultilevel"/>
    <w:tmpl w:val="CF64EEFA"/>
    <w:lvl w:ilvl="0" w:tplc="04090003">
      <w:start w:val="1"/>
      <w:numFmt w:val="bullet"/>
      <w:lvlText w:val="o"/>
      <w:lvlJc w:val="left"/>
      <w:pPr>
        <w:ind w:left="32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0A712D"/>
    <w:multiLevelType w:val="multilevel"/>
    <w:tmpl w:val="39B8C0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190A3C"/>
    <w:multiLevelType w:val="hybridMultilevel"/>
    <w:tmpl w:val="B7747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214990"/>
    <w:multiLevelType w:val="hybridMultilevel"/>
    <w:tmpl w:val="F1A602AE"/>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 w15:restartNumberingAfterBreak="0">
    <w:nsid w:val="36E833BA"/>
    <w:multiLevelType w:val="hybridMultilevel"/>
    <w:tmpl w:val="E37ED78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9B2214A"/>
    <w:multiLevelType w:val="hybridMultilevel"/>
    <w:tmpl w:val="7E8C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BD5632"/>
    <w:multiLevelType w:val="hybridMultilevel"/>
    <w:tmpl w:val="E8E086C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FB96C36"/>
    <w:multiLevelType w:val="hybridMultilevel"/>
    <w:tmpl w:val="37E83732"/>
    <w:lvl w:ilvl="0" w:tplc="57142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0116B"/>
    <w:multiLevelType w:val="multilevel"/>
    <w:tmpl w:val="9D9625E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7F4B35"/>
    <w:multiLevelType w:val="multilevel"/>
    <w:tmpl w:val="04BAA48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5A17E5"/>
    <w:multiLevelType w:val="hybridMultilevel"/>
    <w:tmpl w:val="D65E4F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ED084B"/>
    <w:multiLevelType w:val="hybridMultilevel"/>
    <w:tmpl w:val="4D44C262"/>
    <w:lvl w:ilvl="0" w:tplc="57142C0C">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B190BC0"/>
    <w:multiLevelType w:val="hybridMultilevel"/>
    <w:tmpl w:val="C88AE3C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CB5457"/>
    <w:multiLevelType w:val="hybridMultilevel"/>
    <w:tmpl w:val="A3709C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44041B"/>
    <w:multiLevelType w:val="hybridMultilevel"/>
    <w:tmpl w:val="3B3CF360"/>
    <w:lvl w:ilvl="0" w:tplc="57142C0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F470141"/>
    <w:multiLevelType w:val="hybridMultilevel"/>
    <w:tmpl w:val="82EE54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321EA8"/>
    <w:multiLevelType w:val="multilevel"/>
    <w:tmpl w:val="44504484"/>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7822825"/>
    <w:multiLevelType w:val="hybridMultilevel"/>
    <w:tmpl w:val="A22CED5A"/>
    <w:lvl w:ilvl="0" w:tplc="D70C92B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CCA6336"/>
    <w:multiLevelType w:val="hybridMultilevel"/>
    <w:tmpl w:val="AE0EC9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4856ABD"/>
    <w:multiLevelType w:val="singleLevel"/>
    <w:tmpl w:val="4D38EC20"/>
    <w:lvl w:ilvl="0">
      <w:start w:val="1"/>
      <w:numFmt w:val="lowerLetter"/>
      <w:lvlText w:val="%1."/>
      <w:lvlJc w:val="left"/>
      <w:pPr>
        <w:tabs>
          <w:tab w:val="num" w:pos="720"/>
        </w:tabs>
        <w:ind w:left="720" w:hanging="360"/>
      </w:pPr>
      <w:rPr>
        <w:rFonts w:hint="default"/>
      </w:rPr>
    </w:lvl>
  </w:abstractNum>
  <w:abstractNum w:abstractNumId="28" w15:restartNumberingAfterBreak="0">
    <w:nsid w:val="775249C5"/>
    <w:multiLevelType w:val="multilevel"/>
    <w:tmpl w:val="794CE4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3593724">
    <w:abstractNumId w:val="27"/>
  </w:num>
  <w:num w:numId="2" w16cid:durableId="1496916449">
    <w:abstractNumId w:val="12"/>
  </w:num>
  <w:num w:numId="3" w16cid:durableId="1178082106">
    <w:abstractNumId w:val="25"/>
  </w:num>
  <w:num w:numId="4" w16cid:durableId="887452742">
    <w:abstractNumId w:val="19"/>
  </w:num>
  <w:num w:numId="5" w16cid:durableId="1196381777">
    <w:abstractNumId w:val="14"/>
  </w:num>
  <w:num w:numId="6" w16cid:durableId="1706098944">
    <w:abstractNumId w:val="11"/>
  </w:num>
  <w:num w:numId="7" w16cid:durableId="1902405396">
    <w:abstractNumId w:val="8"/>
  </w:num>
  <w:num w:numId="8" w16cid:durableId="60367878">
    <w:abstractNumId w:val="13"/>
  </w:num>
  <w:num w:numId="9" w16cid:durableId="505441331">
    <w:abstractNumId w:val="22"/>
  </w:num>
  <w:num w:numId="10" w16cid:durableId="72241527">
    <w:abstractNumId w:val="5"/>
  </w:num>
  <w:num w:numId="11" w16cid:durableId="9451721">
    <w:abstractNumId w:val="7"/>
  </w:num>
  <w:num w:numId="12" w16cid:durableId="54285340">
    <w:abstractNumId w:val="9"/>
  </w:num>
  <w:num w:numId="13" w16cid:durableId="508132164">
    <w:abstractNumId w:val="28"/>
  </w:num>
  <w:num w:numId="14" w16cid:durableId="180779685">
    <w:abstractNumId w:val="6"/>
  </w:num>
  <w:num w:numId="15" w16cid:durableId="112406659">
    <w:abstractNumId w:val="23"/>
  </w:num>
  <w:num w:numId="16" w16cid:durableId="22289598">
    <w:abstractNumId w:val="2"/>
  </w:num>
  <w:num w:numId="17" w16cid:durableId="1719283725">
    <w:abstractNumId w:val="17"/>
  </w:num>
  <w:num w:numId="18" w16cid:durableId="1717507168">
    <w:abstractNumId w:val="20"/>
  </w:num>
  <w:num w:numId="19" w16cid:durableId="768963170">
    <w:abstractNumId w:val="16"/>
  </w:num>
  <w:num w:numId="20" w16cid:durableId="1185557142">
    <w:abstractNumId w:val="0"/>
  </w:num>
  <w:num w:numId="21" w16cid:durableId="1661691375">
    <w:abstractNumId w:val="18"/>
  </w:num>
  <w:num w:numId="22" w16cid:durableId="616176038">
    <w:abstractNumId w:val="3"/>
  </w:num>
  <w:num w:numId="23" w16cid:durableId="1397583669">
    <w:abstractNumId w:val="4"/>
  </w:num>
  <w:num w:numId="24" w16cid:durableId="1201361156">
    <w:abstractNumId w:val="15"/>
  </w:num>
  <w:num w:numId="25" w16cid:durableId="2016882933">
    <w:abstractNumId w:val="24"/>
  </w:num>
  <w:num w:numId="26" w16cid:durableId="497233939">
    <w:abstractNumId w:val="1"/>
  </w:num>
  <w:num w:numId="27" w16cid:durableId="1777676433">
    <w:abstractNumId w:val="21"/>
  </w:num>
  <w:num w:numId="28" w16cid:durableId="918057132">
    <w:abstractNumId w:val="10"/>
  </w:num>
  <w:num w:numId="29" w16cid:durableId="167190631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IskCaFwE8ZkUfixfJNigV14W5XZBMXJZUagBYMchSpA/e/ft1DNu0GAVUjjaLK306iQVnSGwugQj3hAWgRZ4w==" w:salt="uWVIcMSa67PpAKmz7MNTG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97E"/>
    <w:rsid w:val="0001714F"/>
    <w:rsid w:val="00027400"/>
    <w:rsid w:val="00027AC1"/>
    <w:rsid w:val="00041745"/>
    <w:rsid w:val="00044088"/>
    <w:rsid w:val="000606F5"/>
    <w:rsid w:val="00063952"/>
    <w:rsid w:val="00095A6F"/>
    <w:rsid w:val="000A20A9"/>
    <w:rsid w:val="000B00B6"/>
    <w:rsid w:val="000B2BFD"/>
    <w:rsid w:val="000C33B8"/>
    <w:rsid w:val="000F3EF9"/>
    <w:rsid w:val="00100097"/>
    <w:rsid w:val="001107E9"/>
    <w:rsid w:val="00137B51"/>
    <w:rsid w:val="00152300"/>
    <w:rsid w:val="001531BA"/>
    <w:rsid w:val="00157F0A"/>
    <w:rsid w:val="00172705"/>
    <w:rsid w:val="00173507"/>
    <w:rsid w:val="0018415E"/>
    <w:rsid w:val="001915FA"/>
    <w:rsid w:val="001A360F"/>
    <w:rsid w:val="001A783D"/>
    <w:rsid w:val="001B096A"/>
    <w:rsid w:val="001B4580"/>
    <w:rsid w:val="001C5226"/>
    <w:rsid w:val="001D318E"/>
    <w:rsid w:val="001D7E8B"/>
    <w:rsid w:val="001E1578"/>
    <w:rsid w:val="0021122B"/>
    <w:rsid w:val="002144BF"/>
    <w:rsid w:val="00217004"/>
    <w:rsid w:val="002230A9"/>
    <w:rsid w:val="00255D62"/>
    <w:rsid w:val="002714BB"/>
    <w:rsid w:val="0027491D"/>
    <w:rsid w:val="00274E20"/>
    <w:rsid w:val="00276B4B"/>
    <w:rsid w:val="00276C71"/>
    <w:rsid w:val="00283B10"/>
    <w:rsid w:val="0029039E"/>
    <w:rsid w:val="002A2004"/>
    <w:rsid w:val="002B5658"/>
    <w:rsid w:val="002E3A7A"/>
    <w:rsid w:val="002E611C"/>
    <w:rsid w:val="00315780"/>
    <w:rsid w:val="00331EE2"/>
    <w:rsid w:val="00357021"/>
    <w:rsid w:val="00371CAE"/>
    <w:rsid w:val="003C28CC"/>
    <w:rsid w:val="003D6ACB"/>
    <w:rsid w:val="003E519D"/>
    <w:rsid w:val="003F0EBA"/>
    <w:rsid w:val="004128BF"/>
    <w:rsid w:val="004161BF"/>
    <w:rsid w:val="00430A19"/>
    <w:rsid w:val="0043209B"/>
    <w:rsid w:val="00432747"/>
    <w:rsid w:val="00445AF2"/>
    <w:rsid w:val="004501D4"/>
    <w:rsid w:val="0045519C"/>
    <w:rsid w:val="004631D8"/>
    <w:rsid w:val="004824C9"/>
    <w:rsid w:val="00486936"/>
    <w:rsid w:val="004872ED"/>
    <w:rsid w:val="004B1597"/>
    <w:rsid w:val="004B75BC"/>
    <w:rsid w:val="004C6EA4"/>
    <w:rsid w:val="0050275A"/>
    <w:rsid w:val="00505D30"/>
    <w:rsid w:val="0051582D"/>
    <w:rsid w:val="00522520"/>
    <w:rsid w:val="00522C06"/>
    <w:rsid w:val="00535CE4"/>
    <w:rsid w:val="00544E6D"/>
    <w:rsid w:val="00545EB7"/>
    <w:rsid w:val="00553868"/>
    <w:rsid w:val="00563EC6"/>
    <w:rsid w:val="0056689C"/>
    <w:rsid w:val="00571093"/>
    <w:rsid w:val="0057694E"/>
    <w:rsid w:val="005A4D55"/>
    <w:rsid w:val="005B055F"/>
    <w:rsid w:val="005B56DF"/>
    <w:rsid w:val="005C7C2D"/>
    <w:rsid w:val="005D4782"/>
    <w:rsid w:val="005D4BA6"/>
    <w:rsid w:val="005F7F14"/>
    <w:rsid w:val="005F7FE0"/>
    <w:rsid w:val="006101B9"/>
    <w:rsid w:val="00611D49"/>
    <w:rsid w:val="00613CE3"/>
    <w:rsid w:val="0063088A"/>
    <w:rsid w:val="00647106"/>
    <w:rsid w:val="00657379"/>
    <w:rsid w:val="006639C8"/>
    <w:rsid w:val="00682DA5"/>
    <w:rsid w:val="006938B7"/>
    <w:rsid w:val="006A29C5"/>
    <w:rsid w:val="006A3B6B"/>
    <w:rsid w:val="006C2236"/>
    <w:rsid w:val="006F2772"/>
    <w:rsid w:val="006F332A"/>
    <w:rsid w:val="006F43B0"/>
    <w:rsid w:val="00700943"/>
    <w:rsid w:val="00734C68"/>
    <w:rsid w:val="00751ACB"/>
    <w:rsid w:val="00763DC0"/>
    <w:rsid w:val="00773592"/>
    <w:rsid w:val="00782F35"/>
    <w:rsid w:val="00786706"/>
    <w:rsid w:val="007A4839"/>
    <w:rsid w:val="007B79A9"/>
    <w:rsid w:val="007D4E55"/>
    <w:rsid w:val="007D77FD"/>
    <w:rsid w:val="007D7DDA"/>
    <w:rsid w:val="007E152E"/>
    <w:rsid w:val="007E5743"/>
    <w:rsid w:val="007F4E20"/>
    <w:rsid w:val="00801738"/>
    <w:rsid w:val="00803D94"/>
    <w:rsid w:val="00804AE6"/>
    <w:rsid w:val="0081178C"/>
    <w:rsid w:val="00836731"/>
    <w:rsid w:val="00870401"/>
    <w:rsid w:val="00873B5E"/>
    <w:rsid w:val="00883C6A"/>
    <w:rsid w:val="008868A0"/>
    <w:rsid w:val="008A7DDA"/>
    <w:rsid w:val="008B3770"/>
    <w:rsid w:val="008B69E0"/>
    <w:rsid w:val="008D3DD5"/>
    <w:rsid w:val="008E0E47"/>
    <w:rsid w:val="008E16A6"/>
    <w:rsid w:val="008F3807"/>
    <w:rsid w:val="00916BBF"/>
    <w:rsid w:val="009221D8"/>
    <w:rsid w:val="00940D75"/>
    <w:rsid w:val="009675FB"/>
    <w:rsid w:val="009A07A2"/>
    <w:rsid w:val="009B6A2E"/>
    <w:rsid w:val="009D3B12"/>
    <w:rsid w:val="009E4B29"/>
    <w:rsid w:val="009F0F10"/>
    <w:rsid w:val="009F1D93"/>
    <w:rsid w:val="009F3775"/>
    <w:rsid w:val="00A0195A"/>
    <w:rsid w:val="00A06848"/>
    <w:rsid w:val="00A17B64"/>
    <w:rsid w:val="00A24DF2"/>
    <w:rsid w:val="00A31E47"/>
    <w:rsid w:val="00A32411"/>
    <w:rsid w:val="00A35D12"/>
    <w:rsid w:val="00A41A25"/>
    <w:rsid w:val="00A60C68"/>
    <w:rsid w:val="00A7462E"/>
    <w:rsid w:val="00A74A5F"/>
    <w:rsid w:val="00A90E6C"/>
    <w:rsid w:val="00A969F9"/>
    <w:rsid w:val="00AB0A47"/>
    <w:rsid w:val="00AC09EC"/>
    <w:rsid w:val="00AE456D"/>
    <w:rsid w:val="00AF337B"/>
    <w:rsid w:val="00B036CB"/>
    <w:rsid w:val="00B0536D"/>
    <w:rsid w:val="00B20962"/>
    <w:rsid w:val="00B24896"/>
    <w:rsid w:val="00B25213"/>
    <w:rsid w:val="00B34C44"/>
    <w:rsid w:val="00B35198"/>
    <w:rsid w:val="00B437FB"/>
    <w:rsid w:val="00B475DB"/>
    <w:rsid w:val="00B55B3F"/>
    <w:rsid w:val="00B60A81"/>
    <w:rsid w:val="00B6132E"/>
    <w:rsid w:val="00B648E6"/>
    <w:rsid w:val="00B72C12"/>
    <w:rsid w:val="00B86F62"/>
    <w:rsid w:val="00B876C2"/>
    <w:rsid w:val="00BB3568"/>
    <w:rsid w:val="00BC0375"/>
    <w:rsid w:val="00BC6EF2"/>
    <w:rsid w:val="00BE4175"/>
    <w:rsid w:val="00C07C92"/>
    <w:rsid w:val="00C1042F"/>
    <w:rsid w:val="00C14940"/>
    <w:rsid w:val="00C324A0"/>
    <w:rsid w:val="00C334D4"/>
    <w:rsid w:val="00C40877"/>
    <w:rsid w:val="00C45974"/>
    <w:rsid w:val="00C45C29"/>
    <w:rsid w:val="00C63158"/>
    <w:rsid w:val="00C74F44"/>
    <w:rsid w:val="00C81310"/>
    <w:rsid w:val="00C9186F"/>
    <w:rsid w:val="00C9207F"/>
    <w:rsid w:val="00CA197E"/>
    <w:rsid w:val="00CC76B9"/>
    <w:rsid w:val="00CD58C3"/>
    <w:rsid w:val="00D05186"/>
    <w:rsid w:val="00D21DB4"/>
    <w:rsid w:val="00D66749"/>
    <w:rsid w:val="00D7101C"/>
    <w:rsid w:val="00D8057B"/>
    <w:rsid w:val="00DC0BF6"/>
    <w:rsid w:val="00DC1D65"/>
    <w:rsid w:val="00DC3877"/>
    <w:rsid w:val="00DC58D0"/>
    <w:rsid w:val="00DE222A"/>
    <w:rsid w:val="00DF5F1E"/>
    <w:rsid w:val="00DF678E"/>
    <w:rsid w:val="00E359F5"/>
    <w:rsid w:val="00E42C7C"/>
    <w:rsid w:val="00E61DBF"/>
    <w:rsid w:val="00E64BF8"/>
    <w:rsid w:val="00E900DF"/>
    <w:rsid w:val="00E90A47"/>
    <w:rsid w:val="00EC49EF"/>
    <w:rsid w:val="00ED06A6"/>
    <w:rsid w:val="00ED58BC"/>
    <w:rsid w:val="00EE2783"/>
    <w:rsid w:val="00EF44BD"/>
    <w:rsid w:val="00EF45FF"/>
    <w:rsid w:val="00F14EB8"/>
    <w:rsid w:val="00F162DD"/>
    <w:rsid w:val="00F41E0D"/>
    <w:rsid w:val="00F7339E"/>
    <w:rsid w:val="00FA4589"/>
    <w:rsid w:val="00FB1B5A"/>
    <w:rsid w:val="00FD7DF5"/>
    <w:rsid w:val="00FE18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E23E3"/>
  <w15:chartTrackingRefBased/>
  <w15:docId w15:val="{16D55C25-895A-43DA-9D07-7734951E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97E"/>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A197E"/>
    <w:pPr>
      <w:jc w:val="center"/>
    </w:pPr>
    <w:rPr>
      <w:rFonts w:ascii="Times New Roman" w:hAnsi="Times New Roman"/>
      <w:b/>
      <w:sz w:val="28"/>
      <w:szCs w:val="20"/>
      <w:lang w:val="en-IE"/>
    </w:rPr>
  </w:style>
  <w:style w:type="character" w:customStyle="1" w:styleId="TitleChar">
    <w:name w:val="Title Char"/>
    <w:basedOn w:val="DefaultParagraphFont"/>
    <w:link w:val="Title"/>
    <w:rsid w:val="00CA197E"/>
    <w:rPr>
      <w:rFonts w:ascii="Times New Roman" w:eastAsia="Times New Roman" w:hAnsi="Times New Roman" w:cs="Times New Roman"/>
      <w:b/>
      <w:sz w:val="28"/>
      <w:szCs w:val="20"/>
      <w:lang w:val="en-IE"/>
    </w:rPr>
  </w:style>
  <w:style w:type="paragraph" w:styleId="Footer">
    <w:name w:val="footer"/>
    <w:basedOn w:val="Normal"/>
    <w:link w:val="FooterChar"/>
    <w:uiPriority w:val="99"/>
    <w:rsid w:val="00CA197E"/>
    <w:pPr>
      <w:tabs>
        <w:tab w:val="center" w:pos="4320"/>
        <w:tab w:val="right" w:pos="8640"/>
      </w:tabs>
    </w:pPr>
    <w:rPr>
      <w:rFonts w:ascii="Times New Roman" w:hAnsi="Times New Roman"/>
      <w:szCs w:val="20"/>
      <w:lang w:val="en-IE"/>
    </w:rPr>
  </w:style>
  <w:style w:type="character" w:customStyle="1" w:styleId="FooterChar">
    <w:name w:val="Footer Char"/>
    <w:basedOn w:val="DefaultParagraphFont"/>
    <w:link w:val="Footer"/>
    <w:uiPriority w:val="99"/>
    <w:rsid w:val="00CA197E"/>
    <w:rPr>
      <w:rFonts w:ascii="Times New Roman" w:eastAsia="Times New Roman" w:hAnsi="Times New Roman" w:cs="Times New Roman"/>
      <w:sz w:val="20"/>
      <w:szCs w:val="20"/>
      <w:lang w:val="en-IE"/>
    </w:rPr>
  </w:style>
  <w:style w:type="character" w:styleId="PageNumber">
    <w:name w:val="page number"/>
    <w:basedOn w:val="DefaultParagraphFont"/>
    <w:semiHidden/>
    <w:rsid w:val="00CA197E"/>
  </w:style>
  <w:style w:type="paragraph" w:styleId="ListParagraph">
    <w:name w:val="List Paragraph"/>
    <w:basedOn w:val="Normal"/>
    <w:uiPriority w:val="34"/>
    <w:qFormat/>
    <w:rsid w:val="00CA197E"/>
    <w:pPr>
      <w:spacing w:after="200" w:line="276" w:lineRule="auto"/>
      <w:ind w:left="720"/>
      <w:contextualSpacing/>
    </w:pPr>
    <w:rPr>
      <w:rFonts w:ascii="Calibri" w:eastAsia="Calibri" w:hAnsi="Calibri"/>
      <w:sz w:val="22"/>
      <w:szCs w:val="22"/>
    </w:rPr>
  </w:style>
  <w:style w:type="paragraph" w:styleId="List2">
    <w:name w:val="List 2"/>
    <w:basedOn w:val="Normal"/>
    <w:rsid w:val="00CA197E"/>
    <w:pPr>
      <w:ind w:left="720" w:hanging="360"/>
    </w:pPr>
    <w:rPr>
      <w:rFonts w:ascii="Times New Roman" w:hAnsi="Times New Roman"/>
      <w:szCs w:val="20"/>
    </w:rPr>
  </w:style>
  <w:style w:type="paragraph" w:styleId="Header">
    <w:name w:val="header"/>
    <w:basedOn w:val="Normal"/>
    <w:link w:val="HeaderChar"/>
    <w:uiPriority w:val="99"/>
    <w:unhideWhenUsed/>
    <w:rsid w:val="001A360F"/>
    <w:pPr>
      <w:tabs>
        <w:tab w:val="center" w:pos="4680"/>
        <w:tab w:val="right" w:pos="9360"/>
      </w:tabs>
    </w:pPr>
  </w:style>
  <w:style w:type="character" w:customStyle="1" w:styleId="HeaderChar">
    <w:name w:val="Header Char"/>
    <w:basedOn w:val="DefaultParagraphFont"/>
    <w:link w:val="Header"/>
    <w:uiPriority w:val="99"/>
    <w:rsid w:val="001A360F"/>
    <w:rPr>
      <w:rFonts w:ascii="Verdana" w:eastAsia="Times New Roman" w:hAnsi="Verdana" w:cs="Times New Roman"/>
      <w:sz w:val="20"/>
      <w:szCs w:val="24"/>
    </w:rPr>
  </w:style>
  <w:style w:type="character" w:styleId="CommentReference">
    <w:name w:val="annotation reference"/>
    <w:basedOn w:val="DefaultParagraphFont"/>
    <w:uiPriority w:val="99"/>
    <w:semiHidden/>
    <w:unhideWhenUsed/>
    <w:rsid w:val="00C74F44"/>
    <w:rPr>
      <w:sz w:val="16"/>
      <w:szCs w:val="16"/>
    </w:rPr>
  </w:style>
  <w:style w:type="paragraph" w:styleId="CommentText">
    <w:name w:val="annotation text"/>
    <w:basedOn w:val="Normal"/>
    <w:link w:val="CommentTextChar"/>
    <w:uiPriority w:val="99"/>
    <w:unhideWhenUsed/>
    <w:rsid w:val="00C74F44"/>
    <w:rPr>
      <w:szCs w:val="20"/>
    </w:rPr>
  </w:style>
  <w:style w:type="character" w:customStyle="1" w:styleId="CommentTextChar">
    <w:name w:val="Comment Text Char"/>
    <w:basedOn w:val="DefaultParagraphFont"/>
    <w:link w:val="CommentText"/>
    <w:uiPriority w:val="99"/>
    <w:rsid w:val="00C74F4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74F44"/>
    <w:rPr>
      <w:b/>
      <w:bCs/>
    </w:rPr>
  </w:style>
  <w:style w:type="character" w:customStyle="1" w:styleId="CommentSubjectChar">
    <w:name w:val="Comment Subject Char"/>
    <w:basedOn w:val="CommentTextChar"/>
    <w:link w:val="CommentSubject"/>
    <w:uiPriority w:val="99"/>
    <w:semiHidden/>
    <w:rsid w:val="00C74F44"/>
    <w:rPr>
      <w:rFonts w:ascii="Verdana" w:eastAsia="Times New Roman" w:hAnsi="Verdana" w:cs="Times New Roman"/>
      <w:b/>
      <w:bCs/>
      <w:sz w:val="20"/>
      <w:szCs w:val="20"/>
    </w:rPr>
  </w:style>
  <w:style w:type="paragraph" w:styleId="Revision">
    <w:name w:val="Revision"/>
    <w:hidden/>
    <w:uiPriority w:val="99"/>
    <w:semiHidden/>
    <w:rsid w:val="00445AF2"/>
    <w:pPr>
      <w:spacing w:after="0" w:line="240" w:lineRule="auto"/>
    </w:pPr>
    <w:rPr>
      <w:rFonts w:ascii="Verdana" w:eastAsia="Times New Roman" w:hAnsi="Verdana" w:cs="Times New Roman"/>
      <w:sz w:val="20"/>
      <w:szCs w:val="24"/>
    </w:rPr>
  </w:style>
  <w:style w:type="paragraph" w:styleId="NoSpacing">
    <w:name w:val="No Spacing"/>
    <w:uiPriority w:val="1"/>
    <w:qFormat/>
    <w:rsid w:val="00173507"/>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3237</Words>
  <Characters>18456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EB005 Terms and Conditions for Vidanova Bank e-Banking</vt:lpstr>
    </vt:vector>
  </TitlesOfParts>
  <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EB005 Terms and Conditions for Vidanova Bank e-Banking</dc:title>
  <dc:subject/>
  <dc:creator>Al Dana, Bassam</dc:creator>
  <cp:keywords/>
  <dc:description/>
  <cp:lastModifiedBy>Al Dana, Bassam</cp:lastModifiedBy>
  <cp:revision>4</cp:revision>
  <dcterms:created xsi:type="dcterms:W3CDTF">2025-04-14T16:02:00Z</dcterms:created>
  <dcterms:modified xsi:type="dcterms:W3CDTF">2025-04-17T13:21:00Z</dcterms:modified>
</cp:coreProperties>
</file>